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5A759" w14:textId="41401D37" w:rsidR="00E77FA2" w:rsidRDefault="009E39CA" w:rsidP="00CF05A5">
      <w:pPr>
        <w:jc w:val="right"/>
      </w:pPr>
      <w:r>
        <w:fldChar w:fldCharType="begin"/>
      </w:r>
      <w:r>
        <w:instrText xml:space="preserve"> DATE \@ "dd/MM/yyyy" </w:instrText>
      </w:r>
      <w:r>
        <w:fldChar w:fldCharType="separate"/>
      </w:r>
      <w:r w:rsidR="00957512">
        <w:rPr>
          <w:noProof/>
        </w:rPr>
        <w:t>19/01/2026</w:t>
      </w:r>
      <w:r>
        <w:fldChar w:fldCharType="end"/>
      </w:r>
    </w:p>
    <w:p w14:paraId="19E07B2C" w14:textId="77777777" w:rsidR="009E39CA" w:rsidRPr="009E39CA" w:rsidRDefault="009E39CA" w:rsidP="009E39CA"/>
    <w:p w14:paraId="12C13DB1" w14:textId="04EB2035" w:rsidR="00DC1202" w:rsidRPr="00E77FA2" w:rsidRDefault="006C15F5" w:rsidP="005059B7">
      <w:pPr>
        <w:pStyle w:val="Title"/>
        <w:spacing w:line="276" w:lineRule="auto"/>
        <w:jc w:val="center"/>
      </w:pPr>
      <w:r>
        <w:t xml:space="preserve">FEAD feedback on the ‘Available for Collection’ </w:t>
      </w:r>
      <w:r w:rsidR="00DE7DAE">
        <w:t>calculation method for battery waste</w:t>
      </w:r>
    </w:p>
    <w:p w14:paraId="4ECFF5A3" w14:textId="77777777" w:rsidR="00E81AD7" w:rsidRDefault="00E81AD7" w:rsidP="00E77FA2">
      <w:pPr>
        <w:rPr>
          <w:rStyle w:val="Aucun"/>
        </w:rPr>
      </w:pPr>
    </w:p>
    <w:p w14:paraId="6B6F98C8" w14:textId="64F8B05C" w:rsidR="000046CB" w:rsidRPr="000046CB" w:rsidRDefault="00FD5EEE" w:rsidP="00DB7930">
      <w:pPr>
        <w:spacing w:after="120" w:line="276" w:lineRule="auto"/>
        <w:rPr>
          <w:rFonts w:cs="Arial"/>
          <w:lang w:val="en-BE"/>
        </w:rPr>
      </w:pPr>
      <w:r w:rsidRPr="006F3666">
        <w:rPr>
          <w:rStyle w:val="Aucun"/>
          <w:rFonts w:cs="Arial"/>
          <w:b/>
          <w:bCs/>
        </w:rPr>
        <w:t>FEAD, the European Waste Management Association, representing the private waste and resource management industry across Europe</w:t>
      </w:r>
      <w:r w:rsidRPr="00FD5EEE">
        <w:rPr>
          <w:rStyle w:val="Aucun"/>
          <w:rFonts w:cs="Arial"/>
        </w:rPr>
        <w:t>,</w:t>
      </w:r>
      <w:r w:rsidR="000046CB">
        <w:rPr>
          <w:rStyle w:val="Aucun"/>
          <w:rFonts w:cs="Arial"/>
        </w:rPr>
        <w:t xml:space="preserve"> </w:t>
      </w:r>
      <w:r w:rsidR="000046CB" w:rsidRPr="000046CB">
        <w:rPr>
          <w:rFonts w:cs="Arial"/>
          <w:lang w:val="en-BE"/>
        </w:rPr>
        <w:t xml:space="preserve">welcomes the objective of improving the accuracy of battery collection rate calculations under the Batteries Regulation and acknowledges the Commission’s mandate to adapt the methodology in light of evolving battery markets and longer battery lifetimes. However, FEAD has </w:t>
      </w:r>
      <w:r w:rsidR="000046CB" w:rsidRPr="000046CB">
        <w:rPr>
          <w:rFonts w:cs="Arial"/>
          <w:b/>
          <w:bCs/>
          <w:lang w:val="en-BE"/>
        </w:rPr>
        <w:t>serious concerns regarding the proposed Available for Collection (AfC) methodology</w:t>
      </w:r>
      <w:r w:rsidR="000046CB" w:rsidRPr="000046CB">
        <w:rPr>
          <w:rFonts w:cs="Arial"/>
          <w:lang w:val="en-BE"/>
        </w:rPr>
        <w:t xml:space="preserve"> as developed in the Oeko-Institut / Fraunhofer study.</w:t>
      </w:r>
    </w:p>
    <w:p w14:paraId="79D81771" w14:textId="6D3C6815" w:rsidR="007B6FB2" w:rsidRPr="007B6FB2" w:rsidRDefault="007B6FB2" w:rsidP="007B6FB2">
      <w:pPr>
        <w:spacing w:after="120" w:line="276" w:lineRule="auto"/>
        <w:rPr>
          <w:rFonts w:cs="Arial"/>
          <w:lang w:val="en-BE"/>
        </w:rPr>
      </w:pPr>
      <w:r w:rsidRPr="007B6FB2">
        <w:rPr>
          <w:rFonts w:cs="Arial"/>
          <w:lang w:val="en-BE"/>
        </w:rPr>
        <w:t xml:space="preserve">The AfC methodology replaces the current approach based on batteries placed on the market with a model that estimates the quantity of waste batteries generated </w:t>
      </w:r>
      <w:proofErr w:type="gramStart"/>
      <w:r w:rsidRPr="007B6FB2">
        <w:rPr>
          <w:rFonts w:cs="Arial"/>
          <w:lang w:val="en-BE"/>
        </w:rPr>
        <w:t>in a given year</w:t>
      </w:r>
      <w:proofErr w:type="gramEnd"/>
      <w:r w:rsidRPr="007B6FB2">
        <w:rPr>
          <w:rFonts w:cs="Arial"/>
          <w:lang w:val="en-BE"/>
        </w:rPr>
        <w:t xml:space="preserve"> and then subtracts several complementary flows assumed not to be available for collection, such as batteries ending up in mixed municipal waste, remaining in WEEE, being repurposed, or exported. </w:t>
      </w:r>
      <w:r w:rsidR="00C11D90" w:rsidRPr="00C11D90">
        <w:rPr>
          <w:rFonts w:cs="Arial"/>
          <w:lang w:val="en-BE"/>
        </w:rPr>
        <w:t>Default values are set at the European level to determine the quantities represented by these additional flows, and Member States have the option to deviate from these default values. The volume of batteries ‘available for collection’ is calculated by subtracting the complementary flows from the waste batteries generated, and this figure is used to set future collection targets</w:t>
      </w:r>
      <w:r w:rsidRPr="007B6FB2">
        <w:rPr>
          <w:rFonts w:cs="Arial"/>
          <w:lang w:val="en-BE"/>
        </w:rPr>
        <w:t>.</w:t>
      </w:r>
    </w:p>
    <w:p w14:paraId="28974E22" w14:textId="67A09DC8" w:rsidR="007B6FB2" w:rsidRDefault="00334152" w:rsidP="007B6FB2">
      <w:pPr>
        <w:spacing w:after="120" w:line="276" w:lineRule="auto"/>
        <w:rPr>
          <w:rFonts w:cs="Arial"/>
          <w:lang w:val="en-BE"/>
        </w:rPr>
      </w:pPr>
      <w:r w:rsidRPr="00334152">
        <w:rPr>
          <w:rFonts w:cs="Arial"/>
          <w:lang w:val="en-BE"/>
        </w:rPr>
        <w:t>FEAD is concerned that this approach relies heavily on assumptions</w:t>
      </w:r>
      <w:r w:rsidR="00587213">
        <w:rPr>
          <w:rFonts w:cs="Arial"/>
          <w:lang w:val="en-BE"/>
        </w:rPr>
        <w:t xml:space="preserve"> </w:t>
      </w:r>
      <w:r w:rsidRPr="00334152">
        <w:rPr>
          <w:rFonts w:cs="Arial"/>
          <w:lang w:val="en-BE"/>
        </w:rPr>
        <w:t xml:space="preserve">and modelling choices that risk redefining the scope of collectable batteries compared to the current obligations of EPR schemes, while </w:t>
      </w:r>
      <w:r w:rsidRPr="00C95BBF">
        <w:rPr>
          <w:rFonts w:cs="Arial"/>
          <w:b/>
          <w:bCs/>
          <w:lang w:val="en-BE"/>
        </w:rPr>
        <w:t>introducing significant complexity and risks of uneven implementation among Member States</w:t>
      </w:r>
      <w:r w:rsidRPr="00334152">
        <w:rPr>
          <w:rFonts w:cs="Arial"/>
          <w:lang w:val="en-BE"/>
        </w:rPr>
        <w:t>, thereby undermining comparability</w:t>
      </w:r>
      <w:r w:rsidR="00587213">
        <w:rPr>
          <w:rFonts w:cs="Arial"/>
          <w:lang w:val="en-BE"/>
        </w:rPr>
        <w:t xml:space="preserve"> of collection rates</w:t>
      </w:r>
      <w:r w:rsidRPr="00334152">
        <w:rPr>
          <w:rFonts w:cs="Arial"/>
          <w:lang w:val="en-BE"/>
        </w:rPr>
        <w:t xml:space="preserve">. Moreover, in its current form, the proposed methodology risks lowering collection ambition, weakening safety incentives and undermining legal certainty, without demonstrably improving the accuracy or effectiveness of battery collection. </w:t>
      </w:r>
      <w:proofErr w:type="gramStart"/>
      <w:r w:rsidRPr="00334152">
        <w:rPr>
          <w:rFonts w:cs="Arial"/>
          <w:lang w:val="en-BE"/>
        </w:rPr>
        <w:t>In particular, FEAD</w:t>
      </w:r>
      <w:proofErr w:type="gramEnd"/>
      <w:r w:rsidRPr="00334152">
        <w:rPr>
          <w:rFonts w:cs="Arial"/>
          <w:lang w:val="en-BE"/>
        </w:rPr>
        <w:t xml:space="preserve"> has </w:t>
      </w:r>
      <w:r w:rsidRPr="006F3666">
        <w:rPr>
          <w:rFonts w:cs="Arial"/>
          <w:b/>
          <w:bCs/>
          <w:lang w:val="en-BE"/>
        </w:rPr>
        <w:t xml:space="preserve">serious concerns regarding the assessment of so-called </w:t>
      </w:r>
      <w:r w:rsidR="00BC3F35" w:rsidRPr="006F3666">
        <w:rPr>
          <w:rFonts w:cs="Arial"/>
          <w:b/>
          <w:bCs/>
          <w:lang w:val="en-BE"/>
        </w:rPr>
        <w:t>‘</w:t>
      </w:r>
      <w:r w:rsidRPr="006F3666">
        <w:rPr>
          <w:rFonts w:cs="Arial"/>
          <w:b/>
          <w:bCs/>
          <w:lang w:val="en-BE"/>
        </w:rPr>
        <w:t>complementary flows</w:t>
      </w:r>
      <w:r w:rsidR="00BC3F35" w:rsidRPr="006F3666">
        <w:rPr>
          <w:rFonts w:cs="Arial"/>
          <w:b/>
          <w:bCs/>
          <w:lang w:val="en-BE"/>
        </w:rPr>
        <w:t>’</w:t>
      </w:r>
      <w:r w:rsidRPr="00334152">
        <w:rPr>
          <w:rFonts w:cs="Arial"/>
          <w:lang w:val="en-BE"/>
        </w:rPr>
        <w:t>, which are deducted from the amount of waste batteries considered available for collection</w:t>
      </w:r>
      <w:r w:rsidR="00076700">
        <w:rPr>
          <w:rFonts w:cs="Arial"/>
          <w:lang w:val="en-BE"/>
        </w:rPr>
        <w:t xml:space="preserve">, thereby </w:t>
      </w:r>
      <w:r w:rsidR="007B3FC8">
        <w:rPr>
          <w:rFonts w:cs="Arial"/>
          <w:lang w:val="en-BE"/>
        </w:rPr>
        <w:t>send</w:t>
      </w:r>
      <w:r w:rsidR="00076700">
        <w:rPr>
          <w:rFonts w:cs="Arial"/>
          <w:lang w:val="en-BE"/>
        </w:rPr>
        <w:t>ing the</w:t>
      </w:r>
      <w:r w:rsidR="007B3FC8">
        <w:rPr>
          <w:rFonts w:cs="Arial"/>
          <w:lang w:val="en-BE"/>
        </w:rPr>
        <w:t xml:space="preserve"> wrong political signal about the ‘non-prioritisation’ of these streams. </w:t>
      </w:r>
    </w:p>
    <w:p w14:paraId="249A3006" w14:textId="06E80A17" w:rsidR="00DB2861" w:rsidRPr="000046CB" w:rsidRDefault="00DB2861" w:rsidP="00DB2861">
      <w:pPr>
        <w:pStyle w:val="Subtitle"/>
        <w:rPr>
          <w:rStyle w:val="Aucun"/>
        </w:rPr>
      </w:pPr>
      <w:r w:rsidRPr="000046CB">
        <w:rPr>
          <w:rStyle w:val="Aucun"/>
        </w:rPr>
        <w:t xml:space="preserve">Deviation from </w:t>
      </w:r>
      <w:r w:rsidR="0068472F">
        <w:rPr>
          <w:rStyle w:val="Aucun"/>
        </w:rPr>
        <w:t>d</w:t>
      </w:r>
      <w:r w:rsidRPr="000046CB">
        <w:rPr>
          <w:rStyle w:val="Aucun"/>
        </w:rPr>
        <w:t xml:space="preserve">efault </w:t>
      </w:r>
      <w:r w:rsidR="0068472F">
        <w:rPr>
          <w:rStyle w:val="Aucun"/>
        </w:rPr>
        <w:t>v</w:t>
      </w:r>
      <w:r w:rsidRPr="000046CB">
        <w:rPr>
          <w:rStyle w:val="Aucun"/>
        </w:rPr>
        <w:t>alues by Member States</w:t>
      </w:r>
    </w:p>
    <w:p w14:paraId="4A311FAF" w14:textId="5F0DE062" w:rsidR="00DB2861" w:rsidRPr="000046CB" w:rsidRDefault="00DB2861" w:rsidP="00DB2861">
      <w:pPr>
        <w:spacing w:after="120" w:line="276" w:lineRule="auto"/>
        <w:rPr>
          <w:rFonts w:cs="Arial"/>
          <w:lang w:val="en-BE"/>
        </w:rPr>
      </w:pPr>
      <w:proofErr w:type="gramStart"/>
      <w:r>
        <w:rPr>
          <w:rFonts w:cs="Arial"/>
          <w:lang w:val="en-BE"/>
        </w:rPr>
        <w:t>As a general rule</w:t>
      </w:r>
      <w:proofErr w:type="gramEnd"/>
      <w:r>
        <w:rPr>
          <w:rFonts w:cs="Arial"/>
          <w:lang w:val="en-BE"/>
        </w:rPr>
        <w:t xml:space="preserve">, </w:t>
      </w:r>
      <w:r w:rsidRPr="000046CB">
        <w:rPr>
          <w:rFonts w:cs="Arial"/>
          <w:lang w:val="en-BE"/>
        </w:rPr>
        <w:t xml:space="preserve">FEAD </w:t>
      </w:r>
      <w:r w:rsidRPr="000046CB">
        <w:rPr>
          <w:rFonts w:cs="Arial"/>
          <w:b/>
          <w:bCs/>
          <w:lang w:val="en-BE"/>
        </w:rPr>
        <w:t>opposes allowing Member States to deviate from default values</w:t>
      </w:r>
      <w:r w:rsidRPr="000046CB">
        <w:rPr>
          <w:rFonts w:cs="Arial"/>
          <w:lang w:val="en-BE"/>
        </w:rPr>
        <w:t xml:space="preserve"> within the AfC methodology.</w:t>
      </w:r>
      <w:r w:rsidR="00F06902" w:rsidRPr="00F06902">
        <w:rPr>
          <w:rFonts w:cs="Arial"/>
          <w:lang w:val="en-BE"/>
        </w:rPr>
        <w:t xml:space="preserve"> </w:t>
      </w:r>
      <w:r w:rsidR="00F06902" w:rsidRPr="000046CB">
        <w:rPr>
          <w:rFonts w:cs="Arial"/>
          <w:lang w:val="en-BE"/>
        </w:rPr>
        <w:t>Allowing national deviations risks uneven implementation of the Batteries Regulation.</w:t>
      </w:r>
    </w:p>
    <w:p w14:paraId="59995DAE" w14:textId="4290C547" w:rsidR="00DB2861" w:rsidRPr="000046CB" w:rsidRDefault="00DB2861" w:rsidP="00DB2861">
      <w:pPr>
        <w:spacing w:after="120" w:line="276" w:lineRule="auto"/>
        <w:rPr>
          <w:rFonts w:cs="Arial"/>
          <w:lang w:val="en-BE"/>
        </w:rPr>
      </w:pPr>
      <w:r w:rsidRPr="000046CB">
        <w:rPr>
          <w:rFonts w:cs="Arial"/>
          <w:lang w:val="en-BE"/>
        </w:rPr>
        <w:t xml:space="preserve">Such flexibility introduces complexity, reduces harmonisation, and undermines transparency and comparability across the EU. It also creates opportunities for strategic use of assumptions </w:t>
      </w:r>
      <w:r w:rsidRPr="000046CB">
        <w:rPr>
          <w:rFonts w:cs="Arial"/>
          <w:lang w:val="en-BE"/>
        </w:rPr>
        <w:lastRenderedPageBreak/>
        <w:t>to artificially reduce collection obligations, with direct implications for overall recovery performance</w:t>
      </w:r>
      <w:r w:rsidR="00890918">
        <w:rPr>
          <w:rFonts w:cs="Arial"/>
          <w:lang w:val="en-BE"/>
        </w:rPr>
        <w:t xml:space="preserve"> and safety of waste management installations. </w:t>
      </w:r>
    </w:p>
    <w:p w14:paraId="6BABC5A2" w14:textId="4C4F8BC7" w:rsidR="00DB2861" w:rsidRPr="000046CB" w:rsidRDefault="00DB2861" w:rsidP="00DB2861">
      <w:pPr>
        <w:spacing w:after="120" w:line="276" w:lineRule="auto"/>
        <w:rPr>
          <w:rFonts w:cs="Arial"/>
          <w:lang w:val="en-BE"/>
        </w:rPr>
      </w:pPr>
      <w:r w:rsidRPr="000046CB">
        <w:rPr>
          <w:rFonts w:cs="Arial"/>
          <w:lang w:val="en-BE"/>
        </w:rPr>
        <w:t>A harmonised EU-wide methodology requires fixed default values</w:t>
      </w:r>
      <w:r w:rsidR="00F06902">
        <w:rPr>
          <w:rFonts w:cs="Arial"/>
          <w:lang w:val="en-BE"/>
        </w:rPr>
        <w:t xml:space="preserve">, </w:t>
      </w:r>
      <w:r w:rsidR="00775678">
        <w:rPr>
          <w:rFonts w:cs="Arial"/>
          <w:lang w:val="en-BE"/>
        </w:rPr>
        <w:t xml:space="preserve">with very limited deviation possibilities when required and </w:t>
      </w:r>
      <w:r w:rsidR="00F45FDA">
        <w:rPr>
          <w:rFonts w:cs="Arial"/>
          <w:lang w:val="en-BE"/>
        </w:rPr>
        <w:t>duly</w:t>
      </w:r>
      <w:r w:rsidR="00775678">
        <w:rPr>
          <w:rFonts w:cs="Arial"/>
          <w:lang w:val="en-BE"/>
        </w:rPr>
        <w:t xml:space="preserve"> justified with verifiable evidence. </w:t>
      </w:r>
    </w:p>
    <w:p w14:paraId="23B8DC5B" w14:textId="1EB74790" w:rsidR="00A33E01" w:rsidRDefault="000270BB" w:rsidP="00F45FDA">
      <w:pPr>
        <w:pStyle w:val="Subtitle"/>
        <w:spacing w:after="0"/>
        <w:rPr>
          <w:rStyle w:val="Aucun"/>
        </w:rPr>
      </w:pPr>
      <w:r>
        <w:rPr>
          <w:rStyle w:val="Aucun"/>
        </w:rPr>
        <w:t xml:space="preserve">Review of the Complementary Flows </w:t>
      </w:r>
      <w:r w:rsidR="00A33E01">
        <w:rPr>
          <w:rStyle w:val="Aucun"/>
        </w:rPr>
        <w:t>default values</w:t>
      </w:r>
    </w:p>
    <w:p w14:paraId="7FDAC064" w14:textId="7F84C650" w:rsidR="000046CB" w:rsidRPr="000046CB" w:rsidRDefault="000046CB" w:rsidP="00F45FDA">
      <w:pPr>
        <w:pStyle w:val="Subtitle"/>
        <w:spacing w:before="240"/>
        <w:rPr>
          <w:rStyle w:val="Aucun"/>
          <w:rFonts w:eastAsiaTheme="minorHAnsi"/>
          <w:color w:val="00A7E1" w:themeColor="accent1"/>
          <w:sz w:val="24"/>
          <w:szCs w:val="24"/>
          <w14:textOutline w14:w="0" w14:cap="rnd" w14:cmpd="sng" w14:algn="ctr">
            <w14:noFill/>
            <w14:prstDash w14:val="solid"/>
            <w14:bevel/>
          </w14:textOutline>
        </w:rPr>
      </w:pPr>
      <w:r w:rsidRPr="000046CB">
        <w:rPr>
          <w:rStyle w:val="Aucun"/>
          <w:rFonts w:eastAsiaTheme="minorHAnsi"/>
          <w:color w:val="00A7E1" w:themeColor="accent1"/>
          <w:sz w:val="24"/>
          <w:szCs w:val="24"/>
          <w14:textOutline w14:w="0" w14:cap="rnd" w14:cmpd="sng" w14:algn="ctr">
            <w14:noFill/>
            <w14:prstDash w14:val="solid"/>
            <w14:bevel/>
          </w14:textOutline>
        </w:rPr>
        <w:t>Batteries in Mixed Municipal Waste (MMW)</w:t>
      </w:r>
    </w:p>
    <w:p w14:paraId="0613B32B" w14:textId="77777777" w:rsidR="000046CB" w:rsidRPr="000046CB" w:rsidRDefault="000046CB" w:rsidP="00DB7930">
      <w:pPr>
        <w:spacing w:after="120" w:line="276" w:lineRule="auto"/>
        <w:rPr>
          <w:rFonts w:cs="Arial"/>
          <w:lang w:val="en-BE"/>
        </w:rPr>
      </w:pPr>
      <w:r w:rsidRPr="000046CB">
        <w:rPr>
          <w:rFonts w:cs="Arial"/>
          <w:lang w:val="en-BE"/>
        </w:rPr>
        <w:t xml:space="preserve">FEAD strongly </w:t>
      </w:r>
      <w:r w:rsidRPr="000046CB">
        <w:rPr>
          <w:rFonts w:cs="Arial"/>
          <w:b/>
          <w:bCs/>
          <w:lang w:val="en-BE"/>
        </w:rPr>
        <w:t>disagrees with batteries in mixed municipal waste being treated as a complementary flow</w:t>
      </w:r>
      <w:r w:rsidRPr="000046CB">
        <w:rPr>
          <w:rFonts w:cs="Arial"/>
          <w:lang w:val="en-BE"/>
        </w:rPr>
        <w:t xml:space="preserve"> and deducted from the calculation of batteries available for collection.</w:t>
      </w:r>
    </w:p>
    <w:p w14:paraId="3CCD2F65" w14:textId="1F37263C" w:rsidR="000046CB" w:rsidRPr="000046CB" w:rsidRDefault="000046CB" w:rsidP="00DB7930">
      <w:pPr>
        <w:spacing w:after="120" w:line="276" w:lineRule="auto"/>
        <w:rPr>
          <w:rFonts w:cs="Arial"/>
          <w:lang w:val="en-BE"/>
        </w:rPr>
      </w:pPr>
      <w:r w:rsidRPr="000046CB">
        <w:rPr>
          <w:rFonts w:cs="Arial"/>
          <w:lang w:val="en-BE"/>
        </w:rPr>
        <w:t xml:space="preserve">Batteries ending up in residual waste are not an unavoidable loss but the result of system failures, including insufficient collection infrastructure, inadequate consumer information, poor product design, and weak enforcement. Treating this stream as a legitimate deduction normalises non-compliance and directly </w:t>
      </w:r>
      <w:r w:rsidRPr="000046CB">
        <w:rPr>
          <w:rFonts w:cs="Arial"/>
          <w:b/>
          <w:bCs/>
          <w:lang w:val="en-BE"/>
        </w:rPr>
        <w:t>undermines efforts to prevent battery-related fires, which are one of the most significant safety risks faced by waste management facilities</w:t>
      </w:r>
      <w:r w:rsidR="00E0136F">
        <w:rPr>
          <w:rStyle w:val="FootnoteReference"/>
          <w:rFonts w:cs="Arial"/>
          <w:lang w:val="en-BE"/>
        </w:rPr>
        <w:footnoteReference w:id="1"/>
      </w:r>
      <w:r w:rsidRPr="000046CB">
        <w:rPr>
          <w:rFonts w:cs="Arial"/>
          <w:lang w:val="en-BE"/>
        </w:rPr>
        <w:t>.</w:t>
      </w:r>
    </w:p>
    <w:p w14:paraId="26A00711" w14:textId="6132CFF3" w:rsidR="000046CB" w:rsidRPr="000046CB" w:rsidRDefault="000046CB" w:rsidP="00DB7930">
      <w:pPr>
        <w:spacing w:after="120" w:line="276" w:lineRule="auto"/>
        <w:rPr>
          <w:rFonts w:cs="Arial"/>
          <w:lang w:val="en-BE"/>
        </w:rPr>
      </w:pPr>
      <w:r w:rsidRPr="000046CB">
        <w:rPr>
          <w:rFonts w:cs="Arial"/>
          <w:lang w:val="en-BE"/>
        </w:rPr>
        <w:t xml:space="preserve">Responsibility for minimising batteries in MMW lies with the battery EPR system. Excluding these batteries from collection targets reduces incentives to invest in prevention measures and implicitly accepts a level of failure that should instead be actively addressed. For these reasons, the </w:t>
      </w:r>
      <w:r w:rsidRPr="000046CB">
        <w:rPr>
          <w:rFonts w:cs="Arial"/>
          <w:b/>
          <w:bCs/>
          <w:lang w:val="en-BE"/>
        </w:rPr>
        <w:t>default value for batteries in MMW should be set at zero</w:t>
      </w:r>
      <w:r w:rsidR="006273DC" w:rsidRPr="00ED5A5F">
        <w:rPr>
          <w:rFonts w:cs="Arial"/>
          <w:b/>
          <w:bCs/>
          <w:lang w:val="en-BE"/>
        </w:rPr>
        <w:t xml:space="preserve"> with no possibility to deviate from it</w:t>
      </w:r>
      <w:r w:rsidRPr="000046CB">
        <w:rPr>
          <w:rFonts w:cs="Arial"/>
          <w:lang w:val="en-BE"/>
        </w:rPr>
        <w:t>, or this complementary flow should be removed entirely from the methodology.</w:t>
      </w:r>
    </w:p>
    <w:p w14:paraId="643BD4B1" w14:textId="74351E06" w:rsidR="000046CB" w:rsidRPr="000046CB" w:rsidRDefault="000046CB" w:rsidP="00DB7930">
      <w:pPr>
        <w:pStyle w:val="Subtitle"/>
        <w:rPr>
          <w:rStyle w:val="Aucun"/>
          <w:rFonts w:eastAsiaTheme="minorHAnsi"/>
          <w:color w:val="00A7E1" w:themeColor="accent1"/>
          <w:sz w:val="24"/>
          <w:szCs w:val="24"/>
          <w14:textOutline w14:w="0" w14:cap="rnd" w14:cmpd="sng" w14:algn="ctr">
            <w14:noFill/>
            <w14:prstDash w14:val="solid"/>
            <w14:bevel/>
          </w14:textOutline>
        </w:rPr>
      </w:pPr>
      <w:r w:rsidRPr="000046CB">
        <w:rPr>
          <w:rStyle w:val="Aucun"/>
          <w:rFonts w:eastAsiaTheme="minorHAnsi"/>
          <w:color w:val="00A7E1" w:themeColor="accent1"/>
          <w:sz w:val="24"/>
          <w:szCs w:val="24"/>
          <w14:textOutline w14:w="0" w14:cap="rnd" w14:cmpd="sng" w14:algn="ctr">
            <w14:noFill/>
            <w14:prstDash w14:val="solid"/>
            <w14:bevel/>
          </w14:textOutline>
        </w:rPr>
        <w:t>Batteries from W</w:t>
      </w:r>
      <w:r w:rsidR="00FB4386">
        <w:rPr>
          <w:rStyle w:val="Aucun"/>
          <w:rFonts w:eastAsiaTheme="minorHAnsi"/>
          <w:color w:val="00A7E1" w:themeColor="accent1"/>
          <w:sz w:val="24"/>
          <w:szCs w:val="24"/>
          <w14:textOutline w14:w="0" w14:cap="rnd" w14:cmpd="sng" w14:algn="ctr">
            <w14:noFill/>
            <w14:prstDash w14:val="solid"/>
            <w14:bevel/>
          </w14:textOutline>
        </w:rPr>
        <w:t>aste Electric and Electronic Equipment (WEEE)</w:t>
      </w:r>
    </w:p>
    <w:p w14:paraId="665B6902" w14:textId="37EE4D78" w:rsidR="000046CB" w:rsidRPr="000046CB" w:rsidRDefault="000046CB" w:rsidP="00DB7930">
      <w:pPr>
        <w:spacing w:after="120" w:line="276" w:lineRule="auto"/>
        <w:rPr>
          <w:rFonts w:cs="Arial"/>
          <w:lang w:val="en-BE"/>
        </w:rPr>
      </w:pPr>
      <w:r w:rsidRPr="000046CB">
        <w:rPr>
          <w:rFonts w:cs="Arial"/>
          <w:lang w:val="en-BE"/>
        </w:rPr>
        <w:t xml:space="preserve">FEAD supports a </w:t>
      </w:r>
      <w:r w:rsidRPr="000046CB">
        <w:rPr>
          <w:rFonts w:cs="Arial"/>
          <w:b/>
          <w:bCs/>
          <w:lang w:val="en-BE"/>
        </w:rPr>
        <w:t>default value of zero for batteries from WEEE, without the possibility of deviation</w:t>
      </w:r>
      <w:r w:rsidR="00AA2C2E">
        <w:rPr>
          <w:rFonts w:cs="Arial"/>
          <w:lang w:val="en-BE"/>
        </w:rPr>
        <w:t xml:space="preserve">. </w:t>
      </w:r>
    </w:p>
    <w:p w14:paraId="5BD86258" w14:textId="77777777" w:rsidR="000046CB" w:rsidRPr="000046CB" w:rsidRDefault="000046CB" w:rsidP="00DB7930">
      <w:pPr>
        <w:spacing w:after="120" w:line="276" w:lineRule="auto"/>
        <w:rPr>
          <w:rFonts w:cs="Arial"/>
          <w:lang w:val="en-BE"/>
        </w:rPr>
      </w:pPr>
      <w:r w:rsidRPr="000046CB">
        <w:rPr>
          <w:rFonts w:cs="Arial"/>
          <w:lang w:val="en-BE"/>
        </w:rPr>
        <w:t xml:space="preserve">EU legislation already requires the removal of all batteries during WEEE treatment. Allowing a </w:t>
      </w:r>
      <w:r w:rsidRPr="000046CB">
        <w:rPr>
          <w:rFonts w:cs="Arial"/>
          <w:b/>
          <w:bCs/>
          <w:lang w:val="en-BE"/>
        </w:rPr>
        <w:t>non-zero default value effectively legitimises non-compliance with the WEEE Directive</w:t>
      </w:r>
      <w:r w:rsidRPr="000046CB">
        <w:rPr>
          <w:rFonts w:cs="Arial"/>
          <w:lang w:val="en-BE"/>
        </w:rPr>
        <w:t xml:space="preserve"> and weakens enforcement of existing legal obligations. Any approach that allows batteries remaining in WEEE to be deducted from collection targets rewards poor treatment practices and undermines legal certainty for compliant operators.</w:t>
      </w:r>
    </w:p>
    <w:p w14:paraId="6315D9CD" w14:textId="7EBEA4B2" w:rsidR="000046CB" w:rsidRPr="000046CB" w:rsidRDefault="000046CB" w:rsidP="00DB7930">
      <w:pPr>
        <w:pStyle w:val="Subtitle"/>
        <w:rPr>
          <w:rStyle w:val="Aucun"/>
          <w:rFonts w:eastAsiaTheme="minorHAnsi"/>
          <w:color w:val="00A7E1" w:themeColor="accent1"/>
          <w:sz w:val="24"/>
          <w:szCs w:val="24"/>
          <w14:textOutline w14:w="0" w14:cap="rnd" w14:cmpd="sng" w14:algn="ctr">
            <w14:noFill/>
            <w14:prstDash w14:val="solid"/>
            <w14:bevel/>
          </w14:textOutline>
        </w:rPr>
      </w:pPr>
      <w:r w:rsidRPr="000046CB">
        <w:rPr>
          <w:rStyle w:val="Aucun"/>
          <w:rFonts w:eastAsiaTheme="minorHAnsi"/>
          <w:color w:val="00A7E1" w:themeColor="accent1"/>
          <w:sz w:val="24"/>
          <w:szCs w:val="24"/>
          <w14:textOutline w14:w="0" w14:cap="rnd" w14:cmpd="sng" w14:algn="ctr">
            <w14:noFill/>
            <w14:prstDash w14:val="solid"/>
            <w14:bevel/>
          </w14:textOutline>
        </w:rPr>
        <w:t>Re</w:t>
      </w:r>
      <w:r w:rsidR="00DE152A">
        <w:rPr>
          <w:rStyle w:val="Aucun"/>
          <w:rFonts w:eastAsiaTheme="minorHAnsi"/>
          <w:color w:val="00A7E1" w:themeColor="accent1"/>
          <w:sz w:val="24"/>
          <w:szCs w:val="24"/>
          <w14:textOutline w14:w="0" w14:cap="rnd" w14:cmpd="sng" w14:algn="ctr">
            <w14:noFill/>
            <w14:prstDash w14:val="solid"/>
            <w14:bevel/>
          </w14:textOutline>
        </w:rPr>
        <w:t>manufactur</w:t>
      </w:r>
      <w:r w:rsidRPr="000046CB">
        <w:rPr>
          <w:rStyle w:val="Aucun"/>
          <w:rFonts w:eastAsiaTheme="minorHAnsi"/>
          <w:color w:val="00A7E1" w:themeColor="accent1"/>
          <w:sz w:val="24"/>
          <w:szCs w:val="24"/>
          <w14:textOutline w14:w="0" w14:cap="rnd" w14:cmpd="sng" w14:algn="ctr">
            <w14:noFill/>
            <w14:prstDash w14:val="solid"/>
            <w14:bevel/>
          </w14:textOutline>
        </w:rPr>
        <w:t xml:space="preserve">ed and </w:t>
      </w:r>
      <w:r w:rsidR="0068472F">
        <w:rPr>
          <w:rStyle w:val="Aucun"/>
          <w:rFonts w:eastAsiaTheme="minorHAnsi"/>
          <w:color w:val="00A7E1" w:themeColor="accent1"/>
          <w:sz w:val="24"/>
          <w:szCs w:val="24"/>
          <w14:textOutline w14:w="0" w14:cap="rnd" w14:cmpd="sng" w14:algn="ctr">
            <w14:noFill/>
            <w14:prstDash w14:val="solid"/>
            <w14:bevel/>
          </w14:textOutline>
        </w:rPr>
        <w:t>r</w:t>
      </w:r>
      <w:r w:rsidRPr="000046CB">
        <w:rPr>
          <w:rStyle w:val="Aucun"/>
          <w:rFonts w:eastAsiaTheme="minorHAnsi"/>
          <w:color w:val="00A7E1" w:themeColor="accent1"/>
          <w:sz w:val="24"/>
          <w:szCs w:val="24"/>
          <w14:textOutline w14:w="0" w14:cap="rnd" w14:cmpd="sng" w14:algn="ctr">
            <w14:noFill/>
            <w14:prstDash w14:val="solid"/>
            <w14:bevel/>
          </w14:textOutline>
        </w:rPr>
        <w:t xml:space="preserve">epurposed </w:t>
      </w:r>
      <w:r w:rsidR="0068472F">
        <w:rPr>
          <w:rStyle w:val="Aucun"/>
          <w:rFonts w:eastAsiaTheme="minorHAnsi"/>
          <w:color w:val="00A7E1" w:themeColor="accent1"/>
          <w:sz w:val="24"/>
          <w:szCs w:val="24"/>
          <w14:textOutline w14:w="0" w14:cap="rnd" w14:cmpd="sng" w14:algn="ctr">
            <w14:noFill/>
            <w14:prstDash w14:val="solid"/>
            <w14:bevel/>
          </w14:textOutline>
        </w:rPr>
        <w:t>ba</w:t>
      </w:r>
      <w:r w:rsidRPr="000046CB">
        <w:rPr>
          <w:rStyle w:val="Aucun"/>
          <w:rFonts w:eastAsiaTheme="minorHAnsi"/>
          <w:color w:val="00A7E1" w:themeColor="accent1"/>
          <w:sz w:val="24"/>
          <w:szCs w:val="24"/>
          <w14:textOutline w14:w="0" w14:cap="rnd" w14:cmpd="sng" w14:algn="ctr">
            <w14:noFill/>
            <w14:prstDash w14:val="solid"/>
            <w14:bevel/>
          </w14:textOutline>
        </w:rPr>
        <w:t>tteries</w:t>
      </w:r>
    </w:p>
    <w:p w14:paraId="461D77EC" w14:textId="16D4C58E" w:rsidR="000046CB" w:rsidRPr="000046CB" w:rsidRDefault="000046CB" w:rsidP="00DB7930">
      <w:pPr>
        <w:spacing w:after="120" w:line="276" w:lineRule="auto"/>
        <w:rPr>
          <w:rFonts w:cs="Arial"/>
          <w:lang w:val="en-BE"/>
        </w:rPr>
      </w:pPr>
      <w:r w:rsidRPr="000046CB">
        <w:rPr>
          <w:rFonts w:cs="Arial"/>
          <w:lang w:val="en-BE"/>
        </w:rPr>
        <w:t xml:space="preserve">FEAD </w:t>
      </w:r>
      <w:r w:rsidR="009E0258">
        <w:rPr>
          <w:rFonts w:cs="Arial"/>
          <w:lang w:val="en-BE"/>
        </w:rPr>
        <w:t>finds more acceptable</w:t>
      </w:r>
      <w:r w:rsidRPr="000046CB">
        <w:rPr>
          <w:rFonts w:cs="Arial"/>
          <w:lang w:val="en-BE"/>
        </w:rPr>
        <w:t xml:space="preserve"> the approach under Option 1 for re</w:t>
      </w:r>
      <w:r w:rsidR="00DE152A">
        <w:rPr>
          <w:rFonts w:cs="Arial"/>
          <w:lang w:val="en-BE"/>
        </w:rPr>
        <w:t>manufacture</w:t>
      </w:r>
      <w:r w:rsidRPr="000046CB">
        <w:rPr>
          <w:rFonts w:cs="Arial"/>
          <w:lang w:val="en-BE"/>
        </w:rPr>
        <w:t>d and repurposed batteries</w:t>
      </w:r>
      <w:r w:rsidR="00E16444">
        <w:rPr>
          <w:rFonts w:cs="Arial"/>
          <w:lang w:val="en-BE"/>
        </w:rPr>
        <w:t xml:space="preserve">, with a default value of 0 and a possible deviation for </w:t>
      </w:r>
      <w:r w:rsidR="000434DA">
        <w:rPr>
          <w:rFonts w:cs="Arial"/>
          <w:lang w:val="en-BE"/>
        </w:rPr>
        <w:t>LMT batteries only, if duly justified</w:t>
      </w:r>
      <w:r w:rsidRPr="000046CB">
        <w:rPr>
          <w:rFonts w:cs="Arial"/>
          <w:lang w:val="en-BE"/>
        </w:rPr>
        <w:t>. However, it is important to recognise that the extension of battery lifetime through re</w:t>
      </w:r>
      <w:r w:rsidR="00DE152A">
        <w:rPr>
          <w:rFonts w:cs="Arial"/>
          <w:lang w:val="en-BE"/>
        </w:rPr>
        <w:t>manufacturing</w:t>
      </w:r>
      <w:r w:rsidRPr="000046CB">
        <w:rPr>
          <w:rFonts w:cs="Arial"/>
          <w:lang w:val="en-BE"/>
        </w:rPr>
        <w:t xml:space="preserve"> and repurposing will already be </w:t>
      </w:r>
      <w:r w:rsidRPr="000046CB">
        <w:rPr>
          <w:rFonts w:cs="Arial"/>
          <w:b/>
          <w:bCs/>
          <w:lang w:val="en-BE"/>
        </w:rPr>
        <w:t xml:space="preserve">reflected in the average lifetime </w:t>
      </w:r>
      <w:r w:rsidRPr="000046CB">
        <w:rPr>
          <w:rFonts w:cs="Arial"/>
          <w:b/>
          <w:bCs/>
          <w:lang w:val="en-BE"/>
        </w:rPr>
        <w:lastRenderedPageBreak/>
        <w:t>assumptions used to calculate waste generated</w:t>
      </w:r>
      <w:r w:rsidRPr="000046CB">
        <w:rPr>
          <w:rFonts w:cs="Arial"/>
          <w:lang w:val="en-BE"/>
        </w:rPr>
        <w:t>.</w:t>
      </w:r>
      <w:r w:rsidR="006E6BC5">
        <w:rPr>
          <w:rFonts w:cs="Arial"/>
          <w:lang w:val="en-BE"/>
        </w:rPr>
        <w:t xml:space="preserve"> </w:t>
      </w:r>
      <w:r w:rsidRPr="000046CB">
        <w:rPr>
          <w:rFonts w:cs="Arial"/>
          <w:lang w:val="en-BE"/>
        </w:rPr>
        <w:t>Introducing a separate complementary flow for re</w:t>
      </w:r>
      <w:r w:rsidR="00DE152A">
        <w:rPr>
          <w:rFonts w:cs="Arial"/>
          <w:lang w:val="en-BE"/>
        </w:rPr>
        <w:t>manufactur</w:t>
      </w:r>
      <w:r w:rsidRPr="000046CB">
        <w:rPr>
          <w:rFonts w:cs="Arial"/>
          <w:lang w:val="en-BE"/>
        </w:rPr>
        <w:t xml:space="preserve">ed or repurposed batteries </w:t>
      </w:r>
      <w:r w:rsidRPr="000046CB">
        <w:rPr>
          <w:rFonts w:cs="Arial"/>
          <w:b/>
          <w:bCs/>
          <w:lang w:val="en-BE"/>
        </w:rPr>
        <w:t>risks double counting lifetime extension</w:t>
      </w:r>
      <w:r w:rsidRPr="000046CB">
        <w:rPr>
          <w:rFonts w:cs="Arial"/>
          <w:lang w:val="en-BE"/>
        </w:rPr>
        <w:t xml:space="preserve"> effects and artificially reducing the amount of batteries deemed available for collection, without reflecting real losses from the system.</w:t>
      </w:r>
    </w:p>
    <w:p w14:paraId="738E8527" w14:textId="132EF04D" w:rsidR="000046CB" w:rsidRPr="000046CB" w:rsidRDefault="00C22462" w:rsidP="00DB7930">
      <w:pPr>
        <w:pStyle w:val="Subtitle"/>
        <w:rPr>
          <w:rStyle w:val="Aucun"/>
          <w:rFonts w:eastAsiaTheme="minorHAnsi"/>
          <w:color w:val="00A7E1" w:themeColor="accent1"/>
          <w:sz w:val="24"/>
          <w:szCs w:val="24"/>
          <w14:textOutline w14:w="0" w14:cap="rnd" w14:cmpd="sng" w14:algn="ctr">
            <w14:noFill/>
            <w14:prstDash w14:val="solid"/>
            <w14:bevel/>
          </w14:textOutline>
        </w:rPr>
      </w:pPr>
      <w:r>
        <w:rPr>
          <w:rStyle w:val="Aucun"/>
          <w:rFonts w:eastAsiaTheme="minorHAnsi"/>
          <w:color w:val="00A7E1" w:themeColor="accent1"/>
          <w:sz w:val="24"/>
          <w:szCs w:val="24"/>
          <w14:textOutline w14:w="0" w14:cap="rnd" w14:cmpd="sng" w14:algn="ctr">
            <w14:noFill/>
            <w14:prstDash w14:val="solid"/>
            <w14:bevel/>
          </w14:textOutline>
        </w:rPr>
        <w:t>Imports / Exports</w:t>
      </w:r>
    </w:p>
    <w:p w14:paraId="3D972300" w14:textId="40FB6307" w:rsidR="000046CB" w:rsidRPr="000046CB" w:rsidRDefault="000046CB" w:rsidP="00DB7930">
      <w:pPr>
        <w:spacing w:after="120" w:line="276" w:lineRule="auto"/>
        <w:rPr>
          <w:rFonts w:cs="Arial"/>
          <w:lang w:val="en-BE"/>
        </w:rPr>
      </w:pPr>
      <w:r w:rsidRPr="000046CB">
        <w:rPr>
          <w:rFonts w:cs="Arial"/>
          <w:lang w:val="en-BE"/>
        </w:rPr>
        <w:t>FEAD strongly disagrees with the treatment of exports as a positive complementary flow</w:t>
      </w:r>
      <w:r w:rsidR="00F23D56">
        <w:rPr>
          <w:rFonts w:cs="Arial"/>
          <w:lang w:val="en-BE"/>
        </w:rPr>
        <w:t xml:space="preserve">, therefore reducing </w:t>
      </w:r>
      <w:r w:rsidR="00740557">
        <w:rPr>
          <w:rFonts w:cs="Arial"/>
          <w:lang w:val="en-BE"/>
        </w:rPr>
        <w:t xml:space="preserve">collection obligations. </w:t>
      </w:r>
    </w:p>
    <w:p w14:paraId="6A269E53" w14:textId="77777777" w:rsidR="000046CB" w:rsidRPr="000046CB" w:rsidRDefault="000046CB" w:rsidP="00DB7930">
      <w:pPr>
        <w:spacing w:after="120" w:line="276" w:lineRule="auto"/>
        <w:rPr>
          <w:rFonts w:cs="Arial"/>
          <w:lang w:val="en-BE"/>
        </w:rPr>
      </w:pPr>
      <w:r w:rsidRPr="000046CB">
        <w:rPr>
          <w:rFonts w:cs="Arial"/>
          <w:lang w:val="en-BE"/>
        </w:rPr>
        <w:t xml:space="preserve">Exports of used batteries should have a </w:t>
      </w:r>
      <w:r w:rsidRPr="000046CB">
        <w:rPr>
          <w:rFonts w:cs="Arial"/>
          <w:b/>
          <w:bCs/>
          <w:lang w:val="en-BE"/>
        </w:rPr>
        <w:t>default value of zero, with deviations allowed only in strictly justified and exceptional cases</w:t>
      </w:r>
      <w:r w:rsidRPr="000046CB">
        <w:rPr>
          <w:rFonts w:cs="Arial"/>
          <w:lang w:val="en-BE"/>
        </w:rPr>
        <w:t xml:space="preserve">. First, there is a </w:t>
      </w:r>
      <w:r w:rsidRPr="000046CB">
        <w:rPr>
          <w:rFonts w:cs="Arial"/>
          <w:b/>
          <w:bCs/>
          <w:lang w:val="en-BE"/>
        </w:rPr>
        <w:t>natural compensation between used batteries imported and exported</w:t>
      </w:r>
      <w:r w:rsidRPr="000046CB">
        <w:rPr>
          <w:rFonts w:cs="Arial"/>
          <w:lang w:val="en-BE"/>
        </w:rPr>
        <w:t xml:space="preserve"> across borders. Systematically deducting exports distorts this balance and risks misrepresenting actual waste flows.</w:t>
      </w:r>
    </w:p>
    <w:p w14:paraId="6694C27F" w14:textId="64237FDC" w:rsidR="000046CB" w:rsidRPr="000046CB" w:rsidRDefault="000046CB" w:rsidP="00DB7930">
      <w:pPr>
        <w:spacing w:after="120" w:line="276" w:lineRule="auto"/>
        <w:rPr>
          <w:rFonts w:cs="Arial"/>
          <w:lang w:val="en-BE"/>
        </w:rPr>
      </w:pPr>
      <w:r w:rsidRPr="000046CB">
        <w:rPr>
          <w:rFonts w:cs="Arial"/>
          <w:lang w:val="en-BE"/>
        </w:rPr>
        <w:t xml:space="preserve">Second, there is a well-documented </w:t>
      </w:r>
      <w:r w:rsidRPr="000046CB">
        <w:rPr>
          <w:rFonts w:cs="Arial"/>
          <w:b/>
          <w:bCs/>
          <w:lang w:val="en-BE"/>
        </w:rPr>
        <w:t xml:space="preserve">risk that </w:t>
      </w:r>
      <w:r w:rsidR="006A6482" w:rsidRPr="00C22462">
        <w:rPr>
          <w:rFonts w:cs="Arial"/>
          <w:b/>
          <w:bCs/>
          <w:lang w:val="en-BE"/>
        </w:rPr>
        <w:t xml:space="preserve">exported </w:t>
      </w:r>
      <w:r w:rsidRPr="000046CB">
        <w:rPr>
          <w:rFonts w:cs="Arial"/>
          <w:b/>
          <w:bCs/>
          <w:lang w:val="en-BE"/>
        </w:rPr>
        <w:t xml:space="preserve">batteries are incorrectly labelled as </w:t>
      </w:r>
      <w:r w:rsidR="00832639" w:rsidRPr="00C22462">
        <w:rPr>
          <w:rFonts w:cs="Arial"/>
          <w:b/>
          <w:bCs/>
          <w:lang w:val="en-BE"/>
        </w:rPr>
        <w:t>‘</w:t>
      </w:r>
      <w:r w:rsidRPr="000046CB">
        <w:rPr>
          <w:rFonts w:cs="Arial"/>
          <w:b/>
          <w:bCs/>
          <w:lang w:val="en-BE"/>
        </w:rPr>
        <w:t>used</w:t>
      </w:r>
      <w:r w:rsidR="00832639" w:rsidRPr="00C22462">
        <w:rPr>
          <w:rFonts w:cs="Arial"/>
          <w:b/>
          <w:bCs/>
          <w:lang w:val="en-BE"/>
        </w:rPr>
        <w:t>’</w:t>
      </w:r>
      <w:r w:rsidRPr="000046CB">
        <w:rPr>
          <w:rFonts w:cs="Arial"/>
          <w:b/>
          <w:bCs/>
          <w:lang w:val="en-BE"/>
        </w:rPr>
        <w:t xml:space="preserve"> when they are in fact waste</w:t>
      </w:r>
      <w:r w:rsidR="00B82446">
        <w:rPr>
          <w:rFonts w:cs="Arial"/>
          <w:lang w:val="en-BE"/>
        </w:rPr>
        <w:t>, there</w:t>
      </w:r>
      <w:r w:rsidR="00EC4FEE">
        <w:rPr>
          <w:rFonts w:cs="Arial"/>
          <w:lang w:val="en-BE"/>
        </w:rPr>
        <w:t>b</w:t>
      </w:r>
      <w:r w:rsidR="00B82446">
        <w:rPr>
          <w:rFonts w:cs="Arial"/>
          <w:lang w:val="en-BE"/>
        </w:rPr>
        <w:t xml:space="preserve">y </w:t>
      </w:r>
      <w:r w:rsidR="00F0420E">
        <w:rPr>
          <w:rFonts w:cs="Arial"/>
          <w:lang w:val="en-BE"/>
        </w:rPr>
        <w:t>circumventing</w:t>
      </w:r>
      <w:r w:rsidR="00B82446">
        <w:rPr>
          <w:rFonts w:cs="Arial"/>
          <w:lang w:val="en-BE"/>
        </w:rPr>
        <w:t xml:space="preserve"> </w:t>
      </w:r>
      <w:r w:rsidR="00EC4FEE">
        <w:rPr>
          <w:rFonts w:cs="Arial"/>
          <w:lang w:val="en-BE"/>
        </w:rPr>
        <w:t xml:space="preserve">the </w:t>
      </w:r>
      <w:r w:rsidR="00B82446">
        <w:rPr>
          <w:rFonts w:cs="Arial"/>
          <w:lang w:val="en-BE"/>
        </w:rPr>
        <w:t>Waste Shipment Regulation</w:t>
      </w:r>
      <w:r w:rsidRPr="000046CB">
        <w:rPr>
          <w:rFonts w:cs="Arial"/>
          <w:lang w:val="en-BE"/>
        </w:rPr>
        <w:t>. A</w:t>
      </w:r>
      <w:r w:rsidR="006777D4">
        <w:rPr>
          <w:rFonts w:cs="Arial"/>
          <w:lang w:val="en-BE"/>
        </w:rPr>
        <w:t>dditionally, a</w:t>
      </w:r>
      <w:r w:rsidRPr="000046CB">
        <w:rPr>
          <w:rFonts w:cs="Arial"/>
          <w:lang w:val="en-BE"/>
        </w:rPr>
        <w:t xml:space="preserve">ll battery waste </w:t>
      </w:r>
      <w:r w:rsidR="00EC4FEE">
        <w:rPr>
          <w:rFonts w:cs="Arial"/>
          <w:lang w:val="en-BE"/>
        </w:rPr>
        <w:t>will be classified by</w:t>
      </w:r>
      <w:r w:rsidRPr="000046CB">
        <w:rPr>
          <w:rFonts w:cs="Arial"/>
          <w:lang w:val="en-BE"/>
        </w:rPr>
        <w:t xml:space="preserve"> hazardous</w:t>
      </w:r>
      <w:r w:rsidR="00EC4FEE">
        <w:rPr>
          <w:rFonts w:cs="Arial"/>
          <w:lang w:val="en-BE"/>
        </w:rPr>
        <w:t xml:space="preserve"> by September 2027</w:t>
      </w:r>
      <w:r w:rsidRPr="000046CB">
        <w:rPr>
          <w:rFonts w:cs="Arial"/>
          <w:lang w:val="en-BE"/>
        </w:rPr>
        <w:t xml:space="preserve">, and its shipment is strictly regulated under the Waste Shipment Regulation. Treating </w:t>
      </w:r>
      <w:r w:rsidR="00EC4FEE">
        <w:rPr>
          <w:rFonts w:cs="Arial"/>
          <w:lang w:val="en-BE"/>
        </w:rPr>
        <w:t xml:space="preserve">battery </w:t>
      </w:r>
      <w:r w:rsidRPr="000046CB">
        <w:rPr>
          <w:rFonts w:cs="Arial"/>
          <w:lang w:val="en-BE"/>
        </w:rPr>
        <w:t>exports as a routine complementary flow risks legitimising illegal shipments and undermining waste shipment enforcement.</w:t>
      </w:r>
    </w:p>
    <w:p w14:paraId="73F67500" w14:textId="0424A1E0" w:rsidR="000046CB" w:rsidRPr="000046CB" w:rsidRDefault="0097466D" w:rsidP="00DB7930">
      <w:pPr>
        <w:spacing w:after="120" w:line="276" w:lineRule="auto"/>
        <w:rPr>
          <w:rFonts w:cs="Arial"/>
          <w:lang w:val="en-BE"/>
        </w:rPr>
      </w:pPr>
      <w:r w:rsidRPr="00834569">
        <w:rPr>
          <w:rFonts w:cs="Arial"/>
          <w:b/>
          <w:bCs/>
          <w:lang w:val="en-BE"/>
        </w:rPr>
        <w:t xml:space="preserve">Default value shall be set at 0 for both </w:t>
      </w:r>
      <w:r w:rsidR="00F23D56" w:rsidRPr="00834569">
        <w:rPr>
          <w:rFonts w:cs="Arial"/>
          <w:b/>
          <w:bCs/>
          <w:lang w:val="en-BE"/>
        </w:rPr>
        <w:t>portable and LMT batteries</w:t>
      </w:r>
      <w:r w:rsidR="00F23D56" w:rsidRPr="00EC4FEE">
        <w:rPr>
          <w:rFonts w:cs="Arial"/>
          <w:lang w:val="en-BE"/>
        </w:rPr>
        <w:t xml:space="preserve">, with possibility </w:t>
      </w:r>
      <w:r w:rsidR="00740557" w:rsidRPr="00EC4FEE">
        <w:rPr>
          <w:rFonts w:cs="Arial"/>
          <w:lang w:val="en-BE"/>
        </w:rPr>
        <w:t xml:space="preserve">to </w:t>
      </w:r>
      <w:r w:rsidR="00F23D56" w:rsidRPr="00EC4FEE">
        <w:rPr>
          <w:rFonts w:cs="Arial"/>
          <w:lang w:val="en-BE"/>
        </w:rPr>
        <w:t>deviate</w:t>
      </w:r>
      <w:r w:rsidR="00F23D56">
        <w:rPr>
          <w:rFonts w:cs="Arial"/>
          <w:lang w:val="en-BE"/>
        </w:rPr>
        <w:t xml:space="preserve"> where </w:t>
      </w:r>
      <w:r w:rsidR="00F23D56" w:rsidRPr="000046CB">
        <w:rPr>
          <w:rFonts w:cs="Arial"/>
          <w:lang w:val="en-BE"/>
        </w:rPr>
        <w:t>robust, verifiable evidence is provided</w:t>
      </w:r>
      <w:r w:rsidR="00F23D56">
        <w:rPr>
          <w:rFonts w:cs="Arial"/>
          <w:lang w:val="en-BE"/>
        </w:rPr>
        <w:t xml:space="preserve"> by the MS. </w:t>
      </w:r>
    </w:p>
    <w:p w14:paraId="50F36C4C" w14:textId="66A83491" w:rsidR="000046CB" w:rsidRPr="000046CB" w:rsidRDefault="000046CB" w:rsidP="00F45FDA">
      <w:pPr>
        <w:pStyle w:val="Subtitle"/>
        <w:spacing w:after="0"/>
        <w:rPr>
          <w:rStyle w:val="Aucun"/>
        </w:rPr>
      </w:pPr>
      <w:r w:rsidRPr="000046CB">
        <w:rPr>
          <w:rStyle w:val="Aucun"/>
        </w:rPr>
        <w:t xml:space="preserve">Impact on </w:t>
      </w:r>
      <w:r w:rsidR="0068472F">
        <w:rPr>
          <w:rStyle w:val="Aucun"/>
        </w:rPr>
        <w:t>c</w:t>
      </w:r>
      <w:r w:rsidRPr="000046CB">
        <w:rPr>
          <w:rStyle w:val="Aucun"/>
        </w:rPr>
        <w:t xml:space="preserve">ollection </w:t>
      </w:r>
      <w:r w:rsidR="0068472F">
        <w:rPr>
          <w:rStyle w:val="Aucun"/>
        </w:rPr>
        <w:t>a</w:t>
      </w:r>
      <w:r w:rsidRPr="000046CB">
        <w:rPr>
          <w:rStyle w:val="Aucun"/>
        </w:rPr>
        <w:t>mbition</w:t>
      </w:r>
    </w:p>
    <w:p w14:paraId="5556D365" w14:textId="0EB5B1AA" w:rsidR="00827228" w:rsidRPr="00827228" w:rsidRDefault="00827228" w:rsidP="00F45FDA">
      <w:pPr>
        <w:pStyle w:val="Subtitle"/>
        <w:spacing w:before="240"/>
        <w:rPr>
          <w:rFonts w:eastAsiaTheme="minorHAnsi"/>
          <w:color w:val="00A7E1" w:themeColor="accent1"/>
          <w:sz w:val="24"/>
          <w:szCs w:val="24"/>
          <w14:textOutline w14:w="0" w14:cap="rnd" w14:cmpd="sng" w14:algn="ctr">
            <w14:noFill/>
            <w14:prstDash w14:val="solid"/>
            <w14:bevel/>
          </w14:textOutline>
        </w:rPr>
      </w:pPr>
      <w:r>
        <w:rPr>
          <w:rStyle w:val="Aucun"/>
          <w:rFonts w:eastAsiaTheme="minorHAnsi"/>
          <w:color w:val="00A7E1" w:themeColor="accent1"/>
          <w:sz w:val="24"/>
          <w:szCs w:val="24"/>
          <w14:textOutline w14:w="0" w14:cap="rnd" w14:cmpd="sng" w14:algn="ctr">
            <w14:noFill/>
            <w14:prstDash w14:val="solid"/>
            <w14:bevel/>
          </w14:textOutline>
        </w:rPr>
        <w:t>Shortcomings of the Available for Collection methodology</w:t>
      </w:r>
    </w:p>
    <w:p w14:paraId="258E7DA5" w14:textId="7861A729" w:rsidR="000046CB" w:rsidRPr="000046CB" w:rsidRDefault="000046CB" w:rsidP="00DB7930">
      <w:pPr>
        <w:spacing w:after="120" w:line="276" w:lineRule="auto"/>
        <w:rPr>
          <w:rFonts w:cs="Arial"/>
          <w:lang w:val="en-BE"/>
        </w:rPr>
      </w:pPr>
      <w:r w:rsidRPr="000046CB">
        <w:rPr>
          <w:rFonts w:cs="Arial"/>
          <w:lang w:val="en-BE"/>
        </w:rPr>
        <w:t xml:space="preserve">The scenario calculations presented in the report reveal that the </w:t>
      </w:r>
      <w:r w:rsidRPr="000046CB">
        <w:rPr>
          <w:rFonts w:cs="Arial"/>
          <w:b/>
          <w:bCs/>
          <w:lang w:val="en-BE"/>
        </w:rPr>
        <w:t>AfC methodology structurally lowers ambition compared to the current system</w:t>
      </w:r>
      <w:r w:rsidR="00D463CA">
        <w:rPr>
          <w:rFonts w:cs="Arial"/>
          <w:lang w:val="en-BE"/>
        </w:rPr>
        <w:t>, even with adjustments of the targets</w:t>
      </w:r>
      <w:r w:rsidRPr="000046CB">
        <w:rPr>
          <w:rFonts w:cs="Arial"/>
          <w:lang w:val="en-BE"/>
        </w:rPr>
        <w:t>.</w:t>
      </w:r>
    </w:p>
    <w:p w14:paraId="3B68ECF5" w14:textId="70D293D5" w:rsidR="008F7FF2" w:rsidRDefault="000046CB" w:rsidP="00DB7930">
      <w:pPr>
        <w:spacing w:after="120" w:line="276" w:lineRule="auto"/>
        <w:rPr>
          <w:rFonts w:cs="Arial"/>
          <w:lang w:val="en-BE"/>
        </w:rPr>
      </w:pPr>
      <w:proofErr w:type="gramStart"/>
      <w:r w:rsidRPr="000046CB">
        <w:rPr>
          <w:rFonts w:cs="Arial"/>
          <w:lang w:val="en-BE"/>
        </w:rPr>
        <w:t>In particular, AfC</w:t>
      </w:r>
      <w:proofErr w:type="gramEnd"/>
      <w:r w:rsidRPr="000046CB">
        <w:rPr>
          <w:rFonts w:cs="Arial"/>
          <w:lang w:val="en-BE"/>
        </w:rPr>
        <w:t xml:space="preserve"> Option 2 should not be considered for either portable or LMT batteries, as the </w:t>
      </w:r>
      <w:r w:rsidRPr="000046CB">
        <w:rPr>
          <w:rFonts w:cs="Arial"/>
          <w:b/>
          <w:bCs/>
          <w:lang w:val="en-BE"/>
        </w:rPr>
        <w:t xml:space="preserve">resulting amount of batteries available for collection </w:t>
      </w:r>
      <w:r w:rsidR="008F7FF2" w:rsidRPr="006A3121">
        <w:rPr>
          <w:rFonts w:cs="Arial"/>
          <w:b/>
          <w:bCs/>
          <w:lang w:val="en-BE"/>
        </w:rPr>
        <w:t>is</w:t>
      </w:r>
      <w:r w:rsidRPr="000046CB">
        <w:rPr>
          <w:rFonts w:cs="Arial"/>
          <w:b/>
          <w:bCs/>
          <w:lang w:val="en-BE"/>
        </w:rPr>
        <w:t xml:space="preserve"> lower than under current targets</w:t>
      </w:r>
      <w:r w:rsidRPr="000046CB">
        <w:rPr>
          <w:rFonts w:cs="Arial"/>
          <w:lang w:val="en-BE"/>
        </w:rPr>
        <w:t xml:space="preserve">. </w:t>
      </w:r>
      <w:r w:rsidR="00C3327E">
        <w:rPr>
          <w:rFonts w:cs="Arial"/>
          <w:lang w:val="en-BE"/>
        </w:rPr>
        <w:t>Indeed, e</w:t>
      </w:r>
      <w:r w:rsidRPr="000046CB">
        <w:rPr>
          <w:rFonts w:cs="Arial"/>
          <w:lang w:val="en-BE"/>
        </w:rPr>
        <w:t xml:space="preserve">ven with a theoretical AfC target of 100%, the volume of batteries collected would be lower than what is required </w:t>
      </w:r>
      <w:r w:rsidR="00827228">
        <w:rPr>
          <w:rFonts w:cs="Arial"/>
          <w:lang w:val="en-BE"/>
        </w:rPr>
        <w:t xml:space="preserve">to collect under current targets. </w:t>
      </w:r>
    </w:p>
    <w:p w14:paraId="6676FB34" w14:textId="3D459523" w:rsidR="000046CB" w:rsidRDefault="00827228" w:rsidP="00DB7930">
      <w:pPr>
        <w:spacing w:after="120" w:line="276" w:lineRule="auto"/>
        <w:rPr>
          <w:rFonts w:cs="Arial"/>
          <w:lang w:val="en-BE"/>
        </w:rPr>
      </w:pPr>
      <w:r>
        <w:rPr>
          <w:rFonts w:cs="Arial"/>
          <w:lang w:val="en-BE"/>
        </w:rPr>
        <w:t>The</w:t>
      </w:r>
      <w:r w:rsidR="000046CB" w:rsidRPr="000046CB">
        <w:rPr>
          <w:rFonts w:cs="Arial"/>
          <w:lang w:val="en-BE"/>
        </w:rPr>
        <w:t xml:space="preserve"> AfC Option 1 for LMT batteries</w:t>
      </w:r>
      <w:r>
        <w:rPr>
          <w:rFonts w:cs="Arial"/>
          <w:lang w:val="en-BE"/>
        </w:rPr>
        <w:t xml:space="preserve"> also</w:t>
      </w:r>
      <w:r w:rsidR="000046CB" w:rsidRPr="000046CB">
        <w:rPr>
          <w:rFonts w:cs="Arial"/>
          <w:lang w:val="en-BE"/>
        </w:rPr>
        <w:t xml:space="preserve"> shows significantly lower</w:t>
      </w:r>
      <w:r>
        <w:rPr>
          <w:rFonts w:cs="Arial"/>
          <w:lang w:val="en-BE"/>
        </w:rPr>
        <w:t xml:space="preserve"> </w:t>
      </w:r>
      <w:r w:rsidR="000046CB" w:rsidRPr="000046CB">
        <w:rPr>
          <w:rFonts w:cs="Arial"/>
          <w:lang w:val="en-BE"/>
        </w:rPr>
        <w:t>volumes</w:t>
      </w:r>
      <w:r>
        <w:rPr>
          <w:rFonts w:cs="Arial"/>
          <w:lang w:val="en-BE"/>
        </w:rPr>
        <w:t xml:space="preserve"> of batteries available for collection</w:t>
      </w:r>
      <w:r w:rsidR="000A4743">
        <w:rPr>
          <w:rFonts w:cs="Arial"/>
          <w:lang w:val="en-BE"/>
        </w:rPr>
        <w:t xml:space="preserve"> </w:t>
      </w:r>
      <w:r w:rsidR="000046CB" w:rsidRPr="000046CB">
        <w:rPr>
          <w:rFonts w:cs="Arial"/>
          <w:lang w:val="en-BE"/>
        </w:rPr>
        <w:t>than those implied by the existing methodology</w:t>
      </w:r>
      <w:r w:rsidR="000A4743">
        <w:rPr>
          <w:rFonts w:cs="Arial"/>
          <w:lang w:val="en-BE"/>
        </w:rPr>
        <w:t xml:space="preserve">, at least until 2028. </w:t>
      </w:r>
    </w:p>
    <w:p w14:paraId="7D8FF90A" w14:textId="0A32BE76" w:rsidR="000046CB" w:rsidRPr="000046CB" w:rsidRDefault="00EE1DCF" w:rsidP="00DB7930">
      <w:pPr>
        <w:spacing w:after="120" w:line="276" w:lineRule="auto"/>
        <w:rPr>
          <w:rFonts w:cs="Arial"/>
          <w:lang w:val="en-BE"/>
        </w:rPr>
      </w:pPr>
      <w:r w:rsidRPr="00EE1DCF">
        <w:rPr>
          <w:rFonts w:cs="Arial"/>
          <w:lang w:val="en-BE"/>
        </w:rPr>
        <w:t>These results highlight concerning shortcomings in the proposed method, in addition to criticable assumptions regarding complementary flows</w:t>
      </w:r>
      <w:r>
        <w:rPr>
          <w:rFonts w:cs="Arial"/>
          <w:lang w:val="en-BE"/>
        </w:rPr>
        <w:t>, as t</w:t>
      </w:r>
      <w:r w:rsidRPr="00EE1DCF">
        <w:rPr>
          <w:rFonts w:cs="Arial"/>
          <w:lang w:val="en-BE"/>
        </w:rPr>
        <w:t>h</w:t>
      </w:r>
      <w:r>
        <w:rPr>
          <w:rFonts w:cs="Arial"/>
          <w:lang w:val="en-BE"/>
        </w:rPr>
        <w:t>ey</w:t>
      </w:r>
      <w:r w:rsidRPr="00EE1DCF">
        <w:rPr>
          <w:rFonts w:cs="Arial"/>
          <w:lang w:val="en-BE"/>
        </w:rPr>
        <w:t xml:space="preserve"> directly </w:t>
      </w:r>
      <w:r w:rsidRPr="006A3121">
        <w:rPr>
          <w:rFonts w:cs="Arial"/>
          <w:b/>
          <w:bCs/>
          <w:lang w:val="en-BE"/>
        </w:rPr>
        <w:t>contradict the Batteries Regulation requirement to maintain equivalent ambition</w:t>
      </w:r>
      <w:r w:rsidRPr="00EE1DCF">
        <w:rPr>
          <w:rFonts w:cs="Arial"/>
          <w:lang w:val="en-BE"/>
        </w:rPr>
        <w:t xml:space="preserve"> for collection targets</w:t>
      </w:r>
      <w:r w:rsidR="000046CB" w:rsidRPr="000046CB">
        <w:rPr>
          <w:rFonts w:cs="Arial"/>
          <w:lang w:val="en-BE"/>
        </w:rPr>
        <w:t>.</w:t>
      </w:r>
    </w:p>
    <w:p w14:paraId="7012F49A" w14:textId="77777777" w:rsidR="0011102C" w:rsidRDefault="0011102C">
      <w:pPr>
        <w:spacing w:line="240" w:lineRule="auto"/>
        <w:jc w:val="left"/>
        <w:rPr>
          <w:rStyle w:val="Aucun"/>
          <w:rFonts w:cs="Arial"/>
          <w:b/>
          <w:bCs/>
          <w:color w:val="00A7E1" w:themeColor="accent1"/>
          <w:sz w:val="24"/>
          <w:lang w:val="en-US"/>
        </w:rPr>
      </w:pPr>
      <w:r>
        <w:rPr>
          <w:rStyle w:val="Aucun"/>
          <w:color w:val="00A7E1" w:themeColor="accent1"/>
          <w:sz w:val="24"/>
        </w:rPr>
        <w:br w:type="page"/>
      </w:r>
    </w:p>
    <w:p w14:paraId="1751FE34" w14:textId="10859788" w:rsidR="000046CB" w:rsidRPr="000046CB" w:rsidRDefault="00827228" w:rsidP="00DB7930">
      <w:pPr>
        <w:pStyle w:val="Subtitle"/>
        <w:rPr>
          <w:rStyle w:val="Aucun"/>
          <w:rFonts w:eastAsiaTheme="minorHAnsi"/>
          <w:color w:val="00A7E1" w:themeColor="accent1"/>
          <w:sz w:val="24"/>
          <w:szCs w:val="24"/>
          <w14:textOutline w14:w="0" w14:cap="rnd" w14:cmpd="sng" w14:algn="ctr">
            <w14:noFill/>
            <w14:prstDash w14:val="solid"/>
            <w14:bevel/>
          </w14:textOutline>
        </w:rPr>
      </w:pPr>
      <w:r>
        <w:rPr>
          <w:rStyle w:val="Aucun"/>
          <w:rFonts w:eastAsiaTheme="minorHAnsi"/>
          <w:color w:val="00A7E1" w:themeColor="accent1"/>
          <w:sz w:val="24"/>
          <w:szCs w:val="24"/>
          <w14:textOutline w14:w="0" w14:cap="rnd" w14:cmpd="sng" w14:algn="ctr">
            <w14:noFill/>
            <w14:prstDash w14:val="solid"/>
            <w14:bevel/>
          </w14:textOutline>
        </w:rPr>
        <w:lastRenderedPageBreak/>
        <w:t>Lack of ambition of the proposed revised targets</w:t>
      </w:r>
    </w:p>
    <w:p w14:paraId="0D7109EE" w14:textId="77777777" w:rsidR="0058691A" w:rsidRPr="0058691A" w:rsidRDefault="0058691A" w:rsidP="0058691A">
      <w:pPr>
        <w:spacing w:after="120" w:line="276" w:lineRule="auto"/>
        <w:rPr>
          <w:rFonts w:cs="Arial"/>
          <w:lang w:val="en-BE"/>
        </w:rPr>
      </w:pPr>
      <w:r w:rsidRPr="0058691A">
        <w:rPr>
          <w:rFonts w:cs="Arial"/>
          <w:lang w:val="en-BE"/>
        </w:rPr>
        <w:t xml:space="preserve">Throughout the report, the contractor proposes collection targets derived from the AfC methodology. Projection schemes clearly show that the </w:t>
      </w:r>
      <w:r w:rsidRPr="0058691A">
        <w:rPr>
          <w:rFonts w:cs="Arial"/>
          <w:b/>
          <w:bCs/>
          <w:lang w:val="en-BE"/>
        </w:rPr>
        <w:t>proposed targets are consistently below the current targets</w:t>
      </w:r>
      <w:r w:rsidRPr="0058691A">
        <w:rPr>
          <w:rFonts w:cs="Arial"/>
          <w:lang w:val="en-BE"/>
        </w:rPr>
        <w:t>, except in the long term where the theoretical assumptions become unverifiable. This is unacceptable, particularly given that battery fire risks are increasing, critical raw materials from waste batteries have been identified as a key source of European materials resilience and collection targets are a core environmental safeguard.</w:t>
      </w:r>
    </w:p>
    <w:p w14:paraId="58FB7B3B" w14:textId="7F484609" w:rsidR="000046CB" w:rsidRDefault="0058691A" w:rsidP="0058691A">
      <w:pPr>
        <w:spacing w:after="120" w:line="276" w:lineRule="auto"/>
        <w:rPr>
          <w:rFonts w:cs="Arial"/>
          <w:lang w:val="en-BE"/>
        </w:rPr>
      </w:pPr>
      <w:r w:rsidRPr="0058691A">
        <w:rPr>
          <w:rFonts w:cs="Arial"/>
          <w:lang w:val="en-BE"/>
        </w:rPr>
        <w:t xml:space="preserve">A </w:t>
      </w:r>
      <w:r w:rsidRPr="0058691A">
        <w:rPr>
          <w:rFonts w:cs="Arial"/>
          <w:b/>
          <w:bCs/>
          <w:lang w:val="en-BE"/>
        </w:rPr>
        <w:t>methodological change that systematically reduces ambition cannot be justified</w:t>
      </w:r>
      <w:r w:rsidRPr="0058691A">
        <w:rPr>
          <w:rFonts w:cs="Arial"/>
          <w:lang w:val="en-BE"/>
        </w:rPr>
        <w:t xml:space="preserve"> as a technical adjustment</w:t>
      </w:r>
      <w:r w:rsidR="000046CB" w:rsidRPr="000046CB">
        <w:rPr>
          <w:rFonts w:cs="Arial"/>
          <w:lang w:val="en-BE"/>
        </w:rPr>
        <w:t>.</w:t>
      </w:r>
    </w:p>
    <w:p w14:paraId="56111D8E" w14:textId="39A37521" w:rsidR="006D1F01" w:rsidRPr="000046CB" w:rsidRDefault="00F45FDA" w:rsidP="00F45FDA">
      <w:pPr>
        <w:pStyle w:val="Subtitle"/>
        <w:spacing w:after="0"/>
        <w:rPr>
          <w:rStyle w:val="Aucun"/>
        </w:rPr>
      </w:pPr>
      <w:r w:rsidRPr="00F45FDA">
        <w:rPr>
          <w:rStyle w:val="Aucun"/>
        </w:rPr>
        <w:t>Overcomplexity of the method</w:t>
      </w:r>
    </w:p>
    <w:p w14:paraId="42B35D20" w14:textId="59054CEB" w:rsidR="000046CB" w:rsidRPr="000046CB" w:rsidRDefault="000046CB" w:rsidP="00F45FDA">
      <w:pPr>
        <w:pStyle w:val="Subtitle"/>
        <w:spacing w:before="240"/>
        <w:rPr>
          <w:rStyle w:val="Aucun"/>
          <w:rFonts w:eastAsiaTheme="minorHAnsi"/>
          <w:color w:val="00A7E1" w:themeColor="accent1"/>
          <w:sz w:val="24"/>
          <w:szCs w:val="24"/>
          <w14:textOutline w14:w="0" w14:cap="rnd" w14:cmpd="sng" w14:algn="ctr">
            <w14:noFill/>
            <w14:prstDash w14:val="solid"/>
            <w14:bevel/>
          </w14:textOutline>
        </w:rPr>
      </w:pPr>
      <w:r w:rsidRPr="000046CB">
        <w:rPr>
          <w:rStyle w:val="Aucun"/>
          <w:rFonts w:eastAsiaTheme="minorHAnsi"/>
          <w:color w:val="00A7E1" w:themeColor="accent1"/>
          <w:sz w:val="24"/>
          <w:szCs w:val="24"/>
          <w14:textOutline w14:w="0" w14:cap="rnd" w14:cmpd="sng" w14:algn="ctr">
            <w14:noFill/>
            <w14:prstDash w14:val="solid"/>
            <w14:bevel/>
          </w14:textOutline>
        </w:rPr>
        <w:t xml:space="preserve">Redefinition of “Collectable Batteries” </w:t>
      </w:r>
      <w:r w:rsidR="0068472F" w:rsidRPr="006D1F01">
        <w:rPr>
          <w:rStyle w:val="Aucun"/>
          <w:rFonts w:eastAsiaTheme="minorHAnsi"/>
          <w:color w:val="00A7E1" w:themeColor="accent1"/>
          <w:sz w:val="24"/>
          <w:szCs w:val="24"/>
          <w14:textOutline w14:w="0" w14:cap="rnd" w14:cmpd="sng" w14:algn="ctr">
            <w14:noFill/>
            <w14:prstDash w14:val="solid"/>
            <w14:bevel/>
          </w14:textOutline>
        </w:rPr>
        <w:t>under the EPR</w:t>
      </w:r>
    </w:p>
    <w:p w14:paraId="2D444273" w14:textId="325E62CC" w:rsidR="005075DB" w:rsidRDefault="00F7404C" w:rsidP="00DB7930">
      <w:pPr>
        <w:spacing w:after="120" w:line="276" w:lineRule="auto"/>
        <w:rPr>
          <w:rFonts w:cs="Arial"/>
          <w:lang w:val="en-BE"/>
        </w:rPr>
      </w:pPr>
      <w:r>
        <w:rPr>
          <w:rFonts w:cs="Arial"/>
          <w:lang w:val="en-BE"/>
        </w:rPr>
        <w:t xml:space="preserve">While the Article 59 and 60 on the collection of portable and LMT batteries establishes that </w:t>
      </w:r>
      <w:r w:rsidR="007B390C">
        <w:rPr>
          <w:rFonts w:cs="Arial"/>
          <w:lang w:val="en-BE"/>
        </w:rPr>
        <w:t>producers ‘</w:t>
      </w:r>
      <w:r w:rsidR="007B390C" w:rsidRPr="005075DB">
        <w:rPr>
          <w:rFonts w:cs="Arial"/>
          <w:i/>
          <w:iCs/>
          <w:lang w:val="en-BE"/>
        </w:rPr>
        <w:t xml:space="preserve">shall ensure that </w:t>
      </w:r>
      <w:r w:rsidRPr="005075DB">
        <w:rPr>
          <w:rFonts w:cs="Arial"/>
          <w:i/>
          <w:iCs/>
          <w:lang w:val="en-BE"/>
        </w:rPr>
        <w:t xml:space="preserve">waste </w:t>
      </w:r>
      <w:r w:rsidR="007B390C" w:rsidRPr="005075DB">
        <w:rPr>
          <w:rFonts w:cs="Arial"/>
          <w:i/>
          <w:iCs/>
          <w:lang w:val="en-BE"/>
        </w:rPr>
        <w:t xml:space="preserve">portable and </w:t>
      </w:r>
      <w:r w:rsidRPr="005075DB">
        <w:rPr>
          <w:rFonts w:cs="Arial"/>
          <w:i/>
          <w:iCs/>
          <w:lang w:val="en-BE"/>
        </w:rPr>
        <w:t>LMT batteries, regardless of their nature, chemical composition, condition, brand or origin, are collected separately in the territory of a Member State</w:t>
      </w:r>
      <w:r w:rsidR="005075DB">
        <w:rPr>
          <w:rFonts w:cs="Arial"/>
          <w:lang w:val="en-BE"/>
        </w:rPr>
        <w:t xml:space="preserve">’ the </w:t>
      </w:r>
      <w:r w:rsidR="000046CB" w:rsidRPr="000046CB">
        <w:rPr>
          <w:rFonts w:cs="Arial"/>
          <w:lang w:val="en-BE"/>
        </w:rPr>
        <w:t xml:space="preserve">AfC methodology </w:t>
      </w:r>
      <w:r w:rsidR="005075DB">
        <w:rPr>
          <w:rFonts w:cs="Arial"/>
          <w:lang w:val="en-BE"/>
        </w:rPr>
        <w:t xml:space="preserve">seems to contradict such approach. </w:t>
      </w:r>
    </w:p>
    <w:p w14:paraId="3D6B726D" w14:textId="0DC50A72" w:rsidR="000046CB" w:rsidRPr="000046CB" w:rsidRDefault="00385103" w:rsidP="00DB7930">
      <w:pPr>
        <w:spacing w:after="120" w:line="276" w:lineRule="auto"/>
        <w:rPr>
          <w:rFonts w:cs="Arial"/>
          <w:lang w:val="en-BE"/>
        </w:rPr>
      </w:pPr>
      <w:r w:rsidRPr="00385103">
        <w:rPr>
          <w:rFonts w:cs="Arial"/>
          <w:lang w:val="en-BE"/>
        </w:rPr>
        <w:t xml:space="preserve">Indeed, by arbitrarily excluding waste battery streams from the scope of the collection targets, the AfC methodology </w:t>
      </w:r>
      <w:r w:rsidRPr="00385103">
        <w:rPr>
          <w:rFonts w:cs="Arial"/>
          <w:b/>
          <w:bCs/>
          <w:lang w:val="en-BE"/>
        </w:rPr>
        <w:t xml:space="preserve">redefines what constitutes 'collectable batteries' and, in effect, substantially modifies the EPR obligations </w:t>
      </w:r>
      <w:r w:rsidRPr="00385103">
        <w:rPr>
          <w:rFonts w:cs="Arial"/>
          <w:lang w:val="en-BE"/>
        </w:rPr>
        <w:t xml:space="preserve">set out in Articles 59 and 60. </w:t>
      </w:r>
      <w:r w:rsidR="00F84F04">
        <w:rPr>
          <w:rFonts w:cs="Arial"/>
          <w:lang w:val="en-BE"/>
        </w:rPr>
        <w:t>T</w:t>
      </w:r>
      <w:r w:rsidR="00F84F04" w:rsidRPr="00F84F04">
        <w:rPr>
          <w:rFonts w:cs="Arial"/>
          <w:lang w:val="en-BE"/>
        </w:rPr>
        <w:t>his raises a serious legal concern as to whether the proposed approach exceeds the mandate of Articles 59(7) and 60(8), which empower the Commission to adapt the methodology and targets, not to fundamentally redesign EPR systems</w:t>
      </w:r>
      <w:r w:rsidR="000046CB" w:rsidRPr="000046CB">
        <w:rPr>
          <w:rFonts w:cs="Arial"/>
          <w:lang w:val="en-BE"/>
        </w:rPr>
        <w:t>.</w:t>
      </w:r>
    </w:p>
    <w:p w14:paraId="5E11A486" w14:textId="5C7A9B6E" w:rsidR="000046CB" w:rsidRPr="000046CB" w:rsidRDefault="000046CB" w:rsidP="00DB7930">
      <w:pPr>
        <w:pStyle w:val="Subtitle"/>
        <w:rPr>
          <w:rStyle w:val="Aucun"/>
          <w:rFonts w:eastAsiaTheme="minorHAnsi"/>
          <w:color w:val="00A7E1" w:themeColor="accent1"/>
          <w:sz w:val="24"/>
          <w:szCs w:val="24"/>
          <w14:textOutline w14:w="0" w14:cap="rnd" w14:cmpd="sng" w14:algn="ctr">
            <w14:noFill/>
            <w14:prstDash w14:val="solid"/>
            <w14:bevel/>
          </w14:textOutline>
        </w:rPr>
      </w:pPr>
      <w:r w:rsidRPr="000046CB">
        <w:rPr>
          <w:rStyle w:val="Aucun"/>
          <w:rFonts w:eastAsiaTheme="minorHAnsi"/>
          <w:color w:val="00A7E1" w:themeColor="accent1"/>
          <w:sz w:val="24"/>
          <w:szCs w:val="24"/>
          <w14:textOutline w14:w="0" w14:cap="rnd" w14:cmpd="sng" w14:algn="ctr">
            <w14:noFill/>
            <w14:prstDash w14:val="solid"/>
            <w14:bevel/>
          </w14:textOutline>
        </w:rPr>
        <w:t xml:space="preserve">Unrealistic </w:t>
      </w:r>
      <w:r w:rsidR="0068472F" w:rsidRPr="006D1F01">
        <w:rPr>
          <w:rStyle w:val="Aucun"/>
          <w:rFonts w:eastAsiaTheme="minorHAnsi"/>
          <w:color w:val="00A7E1" w:themeColor="accent1"/>
          <w:sz w:val="24"/>
          <w:szCs w:val="24"/>
          <w14:textOutline w14:w="0" w14:cap="rnd" w14:cmpd="sng" w14:algn="ctr">
            <w14:noFill/>
            <w14:prstDash w14:val="solid"/>
            <w14:bevel/>
          </w14:textOutline>
        </w:rPr>
        <w:t>a</w:t>
      </w:r>
      <w:r w:rsidRPr="000046CB">
        <w:rPr>
          <w:rStyle w:val="Aucun"/>
          <w:rFonts w:eastAsiaTheme="minorHAnsi"/>
          <w:color w:val="00A7E1" w:themeColor="accent1"/>
          <w:sz w:val="24"/>
          <w:szCs w:val="24"/>
          <w14:textOutline w14:w="0" w14:cap="rnd" w14:cmpd="sng" w14:algn="ctr">
            <w14:noFill/>
            <w14:prstDash w14:val="solid"/>
            <w14:bevel/>
          </w14:textOutline>
        </w:rPr>
        <w:t xml:space="preserve">dministrative </w:t>
      </w:r>
      <w:r w:rsidR="0068472F" w:rsidRPr="006D1F01">
        <w:rPr>
          <w:rStyle w:val="Aucun"/>
          <w:rFonts w:eastAsiaTheme="minorHAnsi"/>
          <w:color w:val="00A7E1" w:themeColor="accent1"/>
          <w:sz w:val="24"/>
          <w:szCs w:val="24"/>
          <w14:textOutline w14:w="0" w14:cap="rnd" w14:cmpd="sng" w14:algn="ctr">
            <w14:noFill/>
            <w14:prstDash w14:val="solid"/>
            <w14:bevel/>
          </w14:textOutline>
        </w:rPr>
        <w:t>b</w:t>
      </w:r>
      <w:r w:rsidRPr="000046CB">
        <w:rPr>
          <w:rStyle w:val="Aucun"/>
          <w:rFonts w:eastAsiaTheme="minorHAnsi"/>
          <w:color w:val="00A7E1" w:themeColor="accent1"/>
          <w:sz w:val="24"/>
          <w:szCs w:val="24"/>
          <w14:textOutline w14:w="0" w14:cap="rnd" w14:cmpd="sng" w14:algn="ctr">
            <w14:noFill/>
            <w14:prstDash w14:val="solid"/>
            <w14:bevel/>
          </w14:textOutline>
        </w:rPr>
        <w:t>urden for Member States</w:t>
      </w:r>
    </w:p>
    <w:p w14:paraId="65E19C38" w14:textId="77777777" w:rsidR="000046CB" w:rsidRPr="000046CB" w:rsidRDefault="000046CB" w:rsidP="00DB7930">
      <w:pPr>
        <w:spacing w:after="120" w:line="276" w:lineRule="auto"/>
        <w:rPr>
          <w:rFonts w:cs="Arial"/>
          <w:lang w:val="en-BE"/>
        </w:rPr>
      </w:pPr>
      <w:r w:rsidRPr="000046CB">
        <w:rPr>
          <w:rFonts w:cs="Arial"/>
          <w:lang w:val="en-BE"/>
        </w:rPr>
        <w:t>The methodology assumes that Member State authorities will be able to assess survey robustness, validate deviations from default values, cross-check PRO data, WEEE recycler data and customs data, and justify national assumptions to the Commission.</w:t>
      </w:r>
    </w:p>
    <w:p w14:paraId="1B32EDA2" w14:textId="77777777" w:rsidR="000046CB" w:rsidRPr="000046CB" w:rsidRDefault="000046CB" w:rsidP="00DB7930">
      <w:pPr>
        <w:spacing w:after="120" w:line="276" w:lineRule="auto"/>
        <w:rPr>
          <w:rFonts w:cs="Arial"/>
          <w:lang w:val="en-BE"/>
        </w:rPr>
      </w:pPr>
      <w:r w:rsidRPr="000046CB">
        <w:rPr>
          <w:rFonts w:cs="Arial"/>
          <w:lang w:val="en-BE"/>
        </w:rPr>
        <w:t xml:space="preserve">In practice, many Member States, particularly smaller or decentralised ones, do not have this analytical capacity. This creates a high </w:t>
      </w:r>
      <w:r w:rsidRPr="000046CB">
        <w:rPr>
          <w:rFonts w:cs="Arial"/>
          <w:b/>
          <w:bCs/>
          <w:lang w:val="en-BE"/>
        </w:rPr>
        <w:t>risk of uneven implementation, increased exposure to infringement procedures, and loss of confidence</w:t>
      </w:r>
      <w:r w:rsidRPr="000046CB">
        <w:rPr>
          <w:rFonts w:cs="Arial"/>
          <w:lang w:val="en-BE"/>
        </w:rPr>
        <w:t xml:space="preserve"> in the credibility of reported data.</w:t>
      </w:r>
    </w:p>
    <w:p w14:paraId="47651B0B" w14:textId="11FBBDEE" w:rsidR="000046CB" w:rsidRPr="000046CB" w:rsidRDefault="000046CB" w:rsidP="00DB7930">
      <w:pPr>
        <w:pStyle w:val="Subtitle"/>
        <w:rPr>
          <w:rStyle w:val="Aucun"/>
          <w:rFonts w:eastAsiaTheme="minorHAnsi"/>
          <w:color w:val="00A7E1" w:themeColor="accent1"/>
          <w:sz w:val="24"/>
          <w:szCs w:val="24"/>
          <w14:textOutline w14:w="0" w14:cap="rnd" w14:cmpd="sng" w14:algn="ctr">
            <w14:noFill/>
            <w14:prstDash w14:val="solid"/>
            <w14:bevel/>
          </w14:textOutline>
        </w:rPr>
      </w:pPr>
      <w:r w:rsidRPr="000046CB">
        <w:rPr>
          <w:rStyle w:val="Aucun"/>
          <w:rFonts w:eastAsiaTheme="minorHAnsi"/>
          <w:color w:val="00A7E1" w:themeColor="accent1"/>
          <w:sz w:val="24"/>
          <w:szCs w:val="24"/>
          <w14:textOutline w14:w="0" w14:cap="rnd" w14:cmpd="sng" w14:algn="ctr">
            <w14:noFill/>
            <w14:prstDash w14:val="solid"/>
            <w14:bevel/>
          </w14:textOutline>
        </w:rPr>
        <w:t xml:space="preserve">Loss of </w:t>
      </w:r>
      <w:r w:rsidR="0068472F">
        <w:rPr>
          <w:rStyle w:val="Aucun"/>
          <w:rFonts w:eastAsiaTheme="minorHAnsi"/>
          <w:color w:val="00A7E1" w:themeColor="accent1"/>
          <w:sz w:val="24"/>
          <w:szCs w:val="24"/>
          <w14:textOutline w14:w="0" w14:cap="rnd" w14:cmpd="sng" w14:algn="ctr">
            <w14:noFill/>
            <w14:prstDash w14:val="solid"/>
            <w14:bevel/>
          </w14:textOutline>
        </w:rPr>
        <w:t>i</w:t>
      </w:r>
      <w:r w:rsidRPr="000046CB">
        <w:rPr>
          <w:rStyle w:val="Aucun"/>
          <w:rFonts w:eastAsiaTheme="minorHAnsi"/>
          <w:color w:val="00A7E1" w:themeColor="accent1"/>
          <w:sz w:val="24"/>
          <w:szCs w:val="24"/>
          <w14:textOutline w14:w="0" w14:cap="rnd" w14:cmpd="sng" w14:algn="ctr">
            <w14:noFill/>
            <w14:prstDash w14:val="solid"/>
            <w14:bevel/>
          </w14:textOutline>
        </w:rPr>
        <w:t xml:space="preserve">ntelligibility and </w:t>
      </w:r>
      <w:r w:rsidR="0068472F">
        <w:rPr>
          <w:rStyle w:val="Aucun"/>
          <w:rFonts w:eastAsiaTheme="minorHAnsi"/>
          <w:color w:val="00A7E1" w:themeColor="accent1"/>
          <w:sz w:val="24"/>
          <w:szCs w:val="24"/>
          <w14:textOutline w14:w="0" w14:cap="rnd" w14:cmpd="sng" w14:algn="ctr">
            <w14:noFill/>
            <w14:prstDash w14:val="solid"/>
            <w14:bevel/>
          </w14:textOutline>
        </w:rPr>
        <w:t>p</w:t>
      </w:r>
      <w:r w:rsidRPr="000046CB">
        <w:rPr>
          <w:rStyle w:val="Aucun"/>
          <w:rFonts w:eastAsiaTheme="minorHAnsi"/>
          <w:color w:val="00A7E1" w:themeColor="accent1"/>
          <w:sz w:val="24"/>
          <w:szCs w:val="24"/>
          <w14:textOutline w14:w="0" w14:cap="rnd" w14:cmpd="sng" w14:algn="ctr">
            <w14:noFill/>
            <w14:prstDash w14:val="solid"/>
            <w14:bevel/>
          </w14:textOutline>
        </w:rPr>
        <w:t xml:space="preserve">ublic </w:t>
      </w:r>
      <w:r w:rsidR="0068472F">
        <w:rPr>
          <w:rStyle w:val="Aucun"/>
          <w:rFonts w:eastAsiaTheme="minorHAnsi"/>
          <w:color w:val="00A7E1" w:themeColor="accent1"/>
          <w:sz w:val="24"/>
          <w:szCs w:val="24"/>
          <w14:textOutline w14:w="0" w14:cap="rnd" w14:cmpd="sng" w14:algn="ctr">
            <w14:noFill/>
            <w14:prstDash w14:val="solid"/>
            <w14:bevel/>
          </w14:textOutline>
        </w:rPr>
        <w:t>t</w:t>
      </w:r>
      <w:r w:rsidRPr="000046CB">
        <w:rPr>
          <w:rStyle w:val="Aucun"/>
          <w:rFonts w:eastAsiaTheme="minorHAnsi"/>
          <w:color w:val="00A7E1" w:themeColor="accent1"/>
          <w:sz w:val="24"/>
          <w:szCs w:val="24"/>
          <w14:textOutline w14:w="0" w14:cap="rnd" w14:cmpd="sng" w14:algn="ctr">
            <w14:noFill/>
            <w14:prstDash w14:val="solid"/>
            <w14:bevel/>
          </w14:textOutline>
        </w:rPr>
        <w:t>rust</w:t>
      </w:r>
    </w:p>
    <w:p w14:paraId="0CCB4C4A" w14:textId="77777777" w:rsidR="000046CB" w:rsidRPr="000046CB" w:rsidRDefault="000046CB" w:rsidP="00DB7930">
      <w:pPr>
        <w:spacing w:after="120" w:line="276" w:lineRule="auto"/>
        <w:rPr>
          <w:rFonts w:cs="Arial"/>
          <w:lang w:val="en-BE"/>
        </w:rPr>
      </w:pPr>
      <w:r w:rsidRPr="000046CB">
        <w:rPr>
          <w:rFonts w:cs="Arial"/>
          <w:lang w:val="en-BE"/>
        </w:rPr>
        <w:t xml:space="preserve">The </w:t>
      </w:r>
      <w:r w:rsidRPr="000046CB">
        <w:rPr>
          <w:rFonts w:cs="Arial"/>
          <w:b/>
          <w:bCs/>
          <w:lang w:val="en-BE"/>
        </w:rPr>
        <w:t>current collection rate methodology is simple, understandable and directly linked to operational action</w:t>
      </w:r>
      <w:r w:rsidRPr="000046CB">
        <w:rPr>
          <w:rFonts w:cs="Arial"/>
          <w:lang w:val="en-BE"/>
        </w:rPr>
        <w:t>. By contrast, AfC-based targets rely on complex and largely invisible calculations, vary by Member State and year, and are extremely difficult to communicate to stakeholders and citizens.</w:t>
      </w:r>
    </w:p>
    <w:p w14:paraId="56BECE81" w14:textId="2D7EA105" w:rsidR="0011102C" w:rsidRPr="008634FC" w:rsidRDefault="000046CB" w:rsidP="008634FC">
      <w:pPr>
        <w:spacing w:after="120" w:line="276" w:lineRule="auto"/>
        <w:rPr>
          <w:rStyle w:val="Aucun"/>
          <w:rFonts w:cs="Arial"/>
          <w:lang w:val="en-BE"/>
        </w:rPr>
      </w:pPr>
      <w:r w:rsidRPr="000046CB">
        <w:rPr>
          <w:rFonts w:cs="Arial"/>
          <w:lang w:val="en-BE"/>
        </w:rPr>
        <w:lastRenderedPageBreak/>
        <w:t xml:space="preserve">This </w:t>
      </w:r>
      <w:r w:rsidRPr="000046CB">
        <w:rPr>
          <w:rFonts w:cs="Arial"/>
          <w:b/>
          <w:bCs/>
          <w:lang w:val="en-BE"/>
        </w:rPr>
        <w:t>loss of transparency weakens accountability and risks undermining trust</w:t>
      </w:r>
      <w:r w:rsidRPr="000046CB">
        <w:rPr>
          <w:rFonts w:cs="Arial"/>
          <w:lang w:val="en-BE"/>
        </w:rPr>
        <w:t xml:space="preserve"> in EU battery policy.</w:t>
      </w:r>
    </w:p>
    <w:p w14:paraId="54F9609D" w14:textId="223E9AA1" w:rsidR="000046CB" w:rsidRPr="000046CB" w:rsidRDefault="000046CB" w:rsidP="00DB7930">
      <w:pPr>
        <w:pStyle w:val="Subtitle"/>
        <w:rPr>
          <w:rStyle w:val="Aucun"/>
        </w:rPr>
      </w:pPr>
      <w:r w:rsidRPr="000046CB">
        <w:rPr>
          <w:rStyle w:val="Aucun"/>
        </w:rPr>
        <w:t>Conclusion</w:t>
      </w:r>
    </w:p>
    <w:p w14:paraId="0F3A6C5C" w14:textId="0079FFA4" w:rsidR="004F5B16" w:rsidRPr="004F5B16" w:rsidRDefault="004F5B16" w:rsidP="004F5B16">
      <w:pPr>
        <w:spacing w:after="120" w:line="276" w:lineRule="auto"/>
        <w:rPr>
          <w:rFonts w:cs="Arial"/>
          <w:lang w:val="en-BE"/>
        </w:rPr>
      </w:pPr>
      <w:proofErr w:type="gramStart"/>
      <w:r w:rsidRPr="004F5B16">
        <w:rPr>
          <w:rFonts w:cs="Arial"/>
          <w:lang w:val="en-BE"/>
        </w:rPr>
        <w:t>In light of</w:t>
      </w:r>
      <w:proofErr w:type="gramEnd"/>
      <w:r w:rsidRPr="004F5B16">
        <w:rPr>
          <w:rFonts w:cs="Arial"/>
          <w:lang w:val="en-BE"/>
        </w:rPr>
        <w:t xml:space="preserve"> the above, FEAD considers that the </w:t>
      </w:r>
      <w:r w:rsidRPr="004F5B16">
        <w:rPr>
          <w:rFonts w:cs="Arial"/>
          <w:b/>
          <w:bCs/>
          <w:lang w:val="en-BE"/>
        </w:rPr>
        <w:t>proposed Available for Collection methodology, in its current form, does not meet the legal requirement to maintain equivalent ambition</w:t>
      </w:r>
      <w:r w:rsidRPr="004F5B16">
        <w:rPr>
          <w:rFonts w:cs="Arial"/>
          <w:lang w:val="en-BE"/>
        </w:rPr>
        <w:t xml:space="preserve"> for battery collection targets under the Batteries Regulation. The </w:t>
      </w:r>
      <w:r w:rsidR="00F50BAD">
        <w:rPr>
          <w:rFonts w:cs="Arial"/>
          <w:lang w:val="en-BE"/>
        </w:rPr>
        <w:t>introduction</w:t>
      </w:r>
      <w:r w:rsidRPr="004F5B16">
        <w:rPr>
          <w:rFonts w:cs="Arial"/>
          <w:lang w:val="en-BE"/>
        </w:rPr>
        <w:t xml:space="preserve"> of complementary flows, which are deducted from the amount of waste batteries considered available for collection, sends the wrong political signal and risks lowering collection ambition</w:t>
      </w:r>
      <w:r w:rsidR="00F50BAD">
        <w:rPr>
          <w:rFonts w:cs="Arial"/>
          <w:lang w:val="en-BE"/>
        </w:rPr>
        <w:t xml:space="preserve"> and </w:t>
      </w:r>
      <w:r w:rsidRPr="004F5B16">
        <w:rPr>
          <w:rFonts w:cs="Arial"/>
          <w:lang w:val="en-BE"/>
        </w:rPr>
        <w:t>weakening fire prevention incentives</w:t>
      </w:r>
      <w:r w:rsidR="00F50BAD">
        <w:rPr>
          <w:rFonts w:cs="Arial"/>
          <w:lang w:val="en-BE"/>
        </w:rPr>
        <w:t>.</w:t>
      </w:r>
    </w:p>
    <w:p w14:paraId="223422BC" w14:textId="7B7B0E56" w:rsidR="000F5E98" w:rsidRPr="0056557D" w:rsidRDefault="004F5B16" w:rsidP="0056557D">
      <w:pPr>
        <w:spacing w:after="120" w:line="276" w:lineRule="auto"/>
        <w:rPr>
          <w:rStyle w:val="Aucun"/>
          <w:rFonts w:cs="Arial"/>
          <w:lang w:val="en-BE"/>
        </w:rPr>
      </w:pPr>
      <w:r w:rsidRPr="004F5B16">
        <w:rPr>
          <w:rFonts w:cs="Arial"/>
          <w:lang w:val="en-BE"/>
        </w:rPr>
        <w:t xml:space="preserve">Moreover, the AfC methodology introduces disproportionate complexity, creates significant risks of uneven implementation across Member States, and raises serious legal concerns by effectively redefining the scope of ‘collectable batteries’ under EPR schemes. </w:t>
      </w:r>
      <w:r w:rsidR="0056557D" w:rsidRPr="0056557D">
        <w:rPr>
          <w:rFonts w:cs="Arial"/>
          <w:b/>
          <w:bCs/>
          <w:lang w:val="en-BE"/>
        </w:rPr>
        <w:t>FEAD therefore calls on the Commission to reconsider the proposed approach, prioritising a harmonised, enforceable methodology</w:t>
      </w:r>
      <w:r w:rsidR="0056557D" w:rsidRPr="0056557D">
        <w:rPr>
          <w:rFonts w:cs="Arial"/>
          <w:lang w:val="en-BE"/>
        </w:rPr>
        <w:t xml:space="preserve"> that strengthens, rather than weakens, battery collection</w:t>
      </w:r>
    </w:p>
    <w:p w14:paraId="6B697E57" w14:textId="77777777" w:rsidR="0011102C" w:rsidRDefault="0011102C" w:rsidP="00E77FA2">
      <w:pPr>
        <w:rPr>
          <w:rStyle w:val="Aucun"/>
          <w:rFonts w:cs="Arial"/>
          <w:lang w:val="en-US"/>
        </w:rPr>
      </w:pPr>
    </w:p>
    <w:p w14:paraId="09BD165D" w14:textId="77777777" w:rsidR="0011102C" w:rsidRDefault="0011102C" w:rsidP="00E77FA2">
      <w:pPr>
        <w:rPr>
          <w:rStyle w:val="Aucun"/>
          <w:rFonts w:cs="Arial"/>
          <w:lang w:val="en-US"/>
        </w:rPr>
      </w:pPr>
    </w:p>
    <w:p w14:paraId="48639936" w14:textId="77777777" w:rsidR="008634FC" w:rsidRDefault="008634FC" w:rsidP="00E77FA2">
      <w:pPr>
        <w:rPr>
          <w:rStyle w:val="Aucun"/>
          <w:rFonts w:cs="Arial"/>
          <w:lang w:val="en-US"/>
        </w:rPr>
      </w:pPr>
    </w:p>
    <w:p w14:paraId="0436246C" w14:textId="77777777" w:rsidR="009E39CA" w:rsidRDefault="009E39CA" w:rsidP="00E77FA2">
      <w:pPr>
        <w:rPr>
          <w:rStyle w:val="Aucun"/>
          <w:rFonts w:cs="Arial"/>
          <w:lang w:val="en-US"/>
        </w:rPr>
      </w:pPr>
    </w:p>
    <w:p w14:paraId="5EAD6BFC" w14:textId="77777777" w:rsidR="00241B04" w:rsidRDefault="00241B04" w:rsidP="00E77FA2">
      <w:pPr>
        <w:rPr>
          <w:rStyle w:val="Aucun"/>
          <w:rFonts w:cs="Arial"/>
          <w:lang w:val="en-US"/>
        </w:rPr>
      </w:pPr>
    </w:p>
    <w:p w14:paraId="5110F998" w14:textId="17D2741B" w:rsidR="000F5E98" w:rsidRDefault="000032AF" w:rsidP="00414494">
      <w:pPr>
        <w:rPr>
          <w:rStyle w:val="Aucun"/>
          <w:rFonts w:cs="Arial"/>
          <w:lang w:val="en-US"/>
        </w:rPr>
      </w:pPr>
      <w:r>
        <w:rPr>
          <w:rStyle w:val="Aucun"/>
          <w:rFonts w:cs="Arial"/>
          <w:noProof/>
          <w:lang w:val="en-US"/>
        </w:rPr>
        <w:pict w14:anchorId="7FBCE9B9">
          <v:rect id="_x0000_i1025" style="width:444.55pt;height:.05pt" o:hrpct="985" o:hralign="center" o:hrstd="t" o:hr="t" fillcolor="#a0a0a0" stroked="f"/>
        </w:pict>
      </w:r>
    </w:p>
    <w:p w14:paraId="7FE9A1C7" w14:textId="75CA1526" w:rsidR="000F5E98" w:rsidRPr="00414494" w:rsidRDefault="00414494" w:rsidP="00241B04">
      <w:pPr>
        <w:ind w:left="142" w:right="237"/>
        <w:rPr>
          <w:rFonts w:cs="Arial"/>
          <w:iCs/>
          <w:color w:val="00A7E1" w:themeColor="accent1"/>
          <w:sz w:val="20"/>
        </w:rPr>
      </w:pPr>
      <w:r w:rsidRPr="00414494">
        <w:rPr>
          <w:rFonts w:cs="Arial"/>
          <w:b/>
          <w:iCs/>
          <w:color w:val="00A7E1" w:themeColor="accent1"/>
          <w:sz w:val="20"/>
        </w:rPr>
        <w:t>FEAD is the European Waste Management Association, representing the private waste and resource management industry across Europe</w:t>
      </w:r>
      <w:r w:rsidRPr="00414494">
        <w:rPr>
          <w:rFonts w:cs="Arial"/>
          <w:iCs/>
          <w:color w:val="00A7E1" w:themeColor="accent1"/>
          <w:sz w:val="20"/>
        </w:rPr>
        <w:t>, including 2</w:t>
      </w:r>
      <w:r w:rsidR="004859BB">
        <w:rPr>
          <w:rFonts w:cs="Arial"/>
          <w:iCs/>
          <w:color w:val="00A7E1" w:themeColor="accent1"/>
          <w:sz w:val="20"/>
        </w:rPr>
        <w:t>1</w:t>
      </w:r>
      <w:r w:rsidRPr="00414494">
        <w:rPr>
          <w:rFonts w:cs="Arial"/>
          <w:iCs/>
          <w:color w:val="00A7E1" w:themeColor="accent1"/>
          <w:sz w:val="20"/>
        </w:rPr>
        <w:t xml:space="preserve"> national waste management federations and 3,000 waste management companies. Private waste management companies operate</w:t>
      </w:r>
      <w:r w:rsidRPr="00414494">
        <w:rPr>
          <w:rFonts w:cs="Arial"/>
          <w:iCs/>
          <w:color w:val="00A7E1" w:themeColor="accent1"/>
          <w:spacing w:val="-14"/>
          <w:sz w:val="20"/>
        </w:rPr>
        <w:t xml:space="preserve"> </w:t>
      </w:r>
      <w:r w:rsidRPr="00414494">
        <w:rPr>
          <w:rFonts w:cs="Arial"/>
          <w:iCs/>
          <w:color w:val="00A7E1" w:themeColor="accent1"/>
          <w:sz w:val="20"/>
        </w:rPr>
        <w:t>in</w:t>
      </w:r>
      <w:r w:rsidRPr="00414494">
        <w:rPr>
          <w:rFonts w:cs="Arial"/>
          <w:iCs/>
          <w:color w:val="00A7E1" w:themeColor="accent1"/>
          <w:spacing w:val="-13"/>
          <w:sz w:val="20"/>
        </w:rPr>
        <w:t xml:space="preserve"> </w:t>
      </w:r>
      <w:r w:rsidRPr="00414494">
        <w:rPr>
          <w:rFonts w:cs="Arial"/>
          <w:iCs/>
          <w:color w:val="00A7E1" w:themeColor="accent1"/>
          <w:sz w:val="20"/>
        </w:rPr>
        <w:t>60%</w:t>
      </w:r>
      <w:r w:rsidRPr="00414494">
        <w:rPr>
          <w:rFonts w:cs="Arial"/>
          <w:iCs/>
          <w:color w:val="00A7E1" w:themeColor="accent1"/>
          <w:spacing w:val="-12"/>
          <w:sz w:val="20"/>
        </w:rPr>
        <w:t xml:space="preserve"> </w:t>
      </w:r>
      <w:r w:rsidRPr="00414494">
        <w:rPr>
          <w:rFonts w:cs="Arial"/>
          <w:iCs/>
          <w:color w:val="00A7E1" w:themeColor="accent1"/>
          <w:sz w:val="20"/>
        </w:rPr>
        <w:t>of</w:t>
      </w:r>
      <w:r w:rsidRPr="00414494">
        <w:rPr>
          <w:rFonts w:cs="Arial"/>
          <w:iCs/>
          <w:color w:val="00A7E1" w:themeColor="accent1"/>
          <w:spacing w:val="-13"/>
          <w:sz w:val="20"/>
        </w:rPr>
        <w:t xml:space="preserve"> </w:t>
      </w:r>
      <w:r w:rsidRPr="00414494">
        <w:rPr>
          <w:rFonts w:cs="Arial"/>
          <w:iCs/>
          <w:color w:val="00A7E1" w:themeColor="accent1"/>
          <w:sz w:val="20"/>
        </w:rPr>
        <w:t>municipal</w:t>
      </w:r>
      <w:r w:rsidRPr="00414494">
        <w:rPr>
          <w:rFonts w:cs="Arial"/>
          <w:iCs/>
          <w:color w:val="00A7E1" w:themeColor="accent1"/>
          <w:spacing w:val="-12"/>
          <w:sz w:val="20"/>
        </w:rPr>
        <w:t xml:space="preserve"> </w:t>
      </w:r>
      <w:r w:rsidRPr="00414494">
        <w:rPr>
          <w:rFonts w:cs="Arial"/>
          <w:iCs/>
          <w:color w:val="00A7E1" w:themeColor="accent1"/>
          <w:sz w:val="20"/>
        </w:rPr>
        <w:t>waste</w:t>
      </w:r>
      <w:r w:rsidRPr="00414494">
        <w:rPr>
          <w:rFonts w:cs="Arial"/>
          <w:iCs/>
          <w:color w:val="00A7E1" w:themeColor="accent1"/>
          <w:spacing w:val="-14"/>
          <w:sz w:val="20"/>
        </w:rPr>
        <w:t xml:space="preserve"> </w:t>
      </w:r>
      <w:r w:rsidRPr="00414494">
        <w:rPr>
          <w:rFonts w:cs="Arial"/>
          <w:iCs/>
          <w:color w:val="00A7E1" w:themeColor="accent1"/>
          <w:sz w:val="20"/>
        </w:rPr>
        <w:t>markets</w:t>
      </w:r>
      <w:r w:rsidRPr="00414494">
        <w:rPr>
          <w:rFonts w:cs="Arial"/>
          <w:iCs/>
          <w:color w:val="00A7E1" w:themeColor="accent1"/>
          <w:spacing w:val="-14"/>
          <w:sz w:val="20"/>
        </w:rPr>
        <w:t xml:space="preserve"> </w:t>
      </w:r>
      <w:r w:rsidRPr="00414494">
        <w:rPr>
          <w:rFonts w:cs="Arial"/>
          <w:iCs/>
          <w:color w:val="00A7E1" w:themeColor="accent1"/>
          <w:sz w:val="20"/>
        </w:rPr>
        <w:t>in</w:t>
      </w:r>
      <w:r w:rsidRPr="00414494">
        <w:rPr>
          <w:rFonts w:cs="Arial"/>
          <w:iCs/>
          <w:color w:val="00A7E1" w:themeColor="accent1"/>
          <w:spacing w:val="-12"/>
          <w:sz w:val="20"/>
        </w:rPr>
        <w:t xml:space="preserve"> </w:t>
      </w:r>
      <w:r w:rsidRPr="00414494">
        <w:rPr>
          <w:rFonts w:cs="Arial"/>
          <w:iCs/>
          <w:color w:val="00A7E1" w:themeColor="accent1"/>
          <w:sz w:val="20"/>
        </w:rPr>
        <w:t>Europe</w:t>
      </w:r>
      <w:r w:rsidRPr="00414494">
        <w:rPr>
          <w:rFonts w:cs="Arial"/>
          <w:iCs/>
          <w:color w:val="00A7E1" w:themeColor="accent1"/>
          <w:spacing w:val="-12"/>
          <w:sz w:val="20"/>
        </w:rPr>
        <w:t xml:space="preserve"> </w:t>
      </w:r>
      <w:r w:rsidRPr="00414494">
        <w:rPr>
          <w:rFonts w:cs="Arial"/>
          <w:iCs/>
          <w:color w:val="00A7E1" w:themeColor="accent1"/>
          <w:sz w:val="20"/>
        </w:rPr>
        <w:t>and</w:t>
      </w:r>
      <w:r w:rsidRPr="00414494">
        <w:rPr>
          <w:rFonts w:cs="Arial"/>
          <w:iCs/>
          <w:color w:val="00A7E1" w:themeColor="accent1"/>
          <w:spacing w:val="-12"/>
          <w:sz w:val="20"/>
        </w:rPr>
        <w:t xml:space="preserve"> </w:t>
      </w:r>
      <w:r w:rsidRPr="00414494">
        <w:rPr>
          <w:rFonts w:cs="Arial"/>
          <w:iCs/>
          <w:color w:val="00A7E1" w:themeColor="accent1"/>
          <w:sz w:val="20"/>
        </w:rPr>
        <w:t>in</w:t>
      </w:r>
      <w:r w:rsidRPr="00414494">
        <w:rPr>
          <w:rFonts w:cs="Arial"/>
          <w:iCs/>
          <w:color w:val="00A7E1" w:themeColor="accent1"/>
          <w:spacing w:val="-12"/>
          <w:sz w:val="20"/>
        </w:rPr>
        <w:t xml:space="preserve"> </w:t>
      </w:r>
      <w:r w:rsidRPr="00414494">
        <w:rPr>
          <w:rFonts w:cs="Arial"/>
          <w:iCs/>
          <w:color w:val="00A7E1" w:themeColor="accent1"/>
          <w:sz w:val="20"/>
        </w:rPr>
        <w:t>75%</w:t>
      </w:r>
      <w:r w:rsidRPr="00414494">
        <w:rPr>
          <w:rFonts w:cs="Arial"/>
          <w:iCs/>
          <w:color w:val="00A7E1" w:themeColor="accent1"/>
          <w:spacing w:val="-12"/>
          <w:sz w:val="20"/>
        </w:rPr>
        <w:t xml:space="preserve"> </w:t>
      </w:r>
      <w:r w:rsidRPr="00414494">
        <w:rPr>
          <w:rFonts w:cs="Arial"/>
          <w:iCs/>
          <w:color w:val="00A7E1" w:themeColor="accent1"/>
          <w:sz w:val="20"/>
        </w:rPr>
        <w:t>of</w:t>
      </w:r>
      <w:r w:rsidRPr="00414494">
        <w:rPr>
          <w:rFonts w:cs="Arial"/>
          <w:iCs/>
          <w:color w:val="00A7E1" w:themeColor="accent1"/>
          <w:spacing w:val="-13"/>
          <w:sz w:val="20"/>
        </w:rPr>
        <w:t xml:space="preserve"> </w:t>
      </w:r>
      <w:r w:rsidRPr="00414494">
        <w:rPr>
          <w:rFonts w:cs="Arial"/>
          <w:iCs/>
          <w:color w:val="00A7E1" w:themeColor="accent1"/>
          <w:sz w:val="20"/>
        </w:rPr>
        <w:t>industrial</w:t>
      </w:r>
      <w:r w:rsidRPr="00414494">
        <w:rPr>
          <w:rFonts w:cs="Arial"/>
          <w:iCs/>
          <w:color w:val="00A7E1" w:themeColor="accent1"/>
          <w:spacing w:val="-12"/>
          <w:sz w:val="20"/>
        </w:rPr>
        <w:t xml:space="preserve"> </w:t>
      </w:r>
      <w:r w:rsidRPr="00414494">
        <w:rPr>
          <w:rFonts w:cs="Arial"/>
          <w:iCs/>
          <w:color w:val="00A7E1" w:themeColor="accent1"/>
          <w:sz w:val="20"/>
        </w:rPr>
        <w:t>and</w:t>
      </w:r>
      <w:r w:rsidRPr="00414494">
        <w:rPr>
          <w:rFonts w:cs="Arial"/>
          <w:iCs/>
          <w:color w:val="00A7E1" w:themeColor="accent1"/>
          <w:spacing w:val="-12"/>
          <w:sz w:val="20"/>
        </w:rPr>
        <w:t xml:space="preserve"> </w:t>
      </w:r>
      <w:r w:rsidRPr="00414494">
        <w:rPr>
          <w:rFonts w:cs="Arial"/>
          <w:iCs/>
          <w:color w:val="00A7E1" w:themeColor="accent1"/>
          <w:sz w:val="20"/>
        </w:rPr>
        <w:t>commercial</w:t>
      </w:r>
      <w:r w:rsidRPr="00414494">
        <w:rPr>
          <w:rFonts w:cs="Arial"/>
          <w:iCs/>
          <w:color w:val="00A7E1" w:themeColor="accent1"/>
          <w:spacing w:val="-12"/>
          <w:sz w:val="20"/>
        </w:rPr>
        <w:t xml:space="preserve"> </w:t>
      </w:r>
      <w:r w:rsidRPr="00414494">
        <w:rPr>
          <w:rFonts w:cs="Arial"/>
          <w:iCs/>
          <w:color w:val="00A7E1" w:themeColor="accent1"/>
          <w:sz w:val="20"/>
        </w:rPr>
        <w:t>waste. This means more</w:t>
      </w:r>
      <w:r w:rsidRPr="00414494">
        <w:rPr>
          <w:rFonts w:cs="Arial"/>
          <w:iCs/>
          <w:color w:val="00A7E1" w:themeColor="accent1"/>
          <w:spacing w:val="-2"/>
          <w:sz w:val="20"/>
        </w:rPr>
        <w:t xml:space="preserve"> </w:t>
      </w:r>
      <w:r w:rsidRPr="00414494">
        <w:rPr>
          <w:rFonts w:cs="Arial"/>
          <w:iCs/>
          <w:color w:val="00A7E1" w:themeColor="accent1"/>
          <w:sz w:val="20"/>
        </w:rPr>
        <w:t>than 500,000 local jobs, fuelling €5 billion of investments into</w:t>
      </w:r>
      <w:r w:rsidRPr="00414494">
        <w:rPr>
          <w:rFonts w:cs="Arial"/>
          <w:iCs/>
          <w:color w:val="00A7E1" w:themeColor="accent1"/>
          <w:spacing w:val="-2"/>
          <w:sz w:val="20"/>
        </w:rPr>
        <w:t xml:space="preserve"> </w:t>
      </w:r>
      <w:r w:rsidRPr="00414494">
        <w:rPr>
          <w:rFonts w:cs="Arial"/>
          <w:iCs/>
          <w:color w:val="00A7E1" w:themeColor="accent1"/>
          <w:sz w:val="20"/>
        </w:rPr>
        <w:t xml:space="preserve">the economy every year. For more information, please contact: </w:t>
      </w:r>
      <w:hyperlink r:id="rId11">
        <w:r w:rsidRPr="00414494">
          <w:rPr>
            <w:rFonts w:cs="Arial"/>
            <w:iCs/>
            <w:color w:val="00A7E1" w:themeColor="accent1"/>
            <w:sz w:val="20"/>
            <w:u w:val="single" w:color="00A9C8"/>
          </w:rPr>
          <w:t>info@fead.be</w:t>
        </w:r>
      </w:hyperlink>
    </w:p>
    <w:p w14:paraId="5015F72A" w14:textId="0FC23B17" w:rsidR="00DC1202" w:rsidRDefault="000032AF" w:rsidP="00414494">
      <w:pPr>
        <w:rPr>
          <w:rStyle w:val="Aucun"/>
          <w:rFonts w:cs="Arial"/>
          <w:noProof/>
          <w:lang w:val="en-US"/>
        </w:rPr>
      </w:pPr>
      <w:r>
        <w:rPr>
          <w:rStyle w:val="Aucun"/>
          <w:rFonts w:cs="Arial"/>
          <w:noProof/>
          <w:lang w:val="en-US"/>
        </w:rPr>
        <w:pict w14:anchorId="296194AF">
          <v:rect id="_x0000_i1026" style="width:444.55pt;height:.05pt" o:hrpct="985" o:hralign="center" o:hrstd="t" o:hr="t" fillcolor="#a0a0a0" stroked="f"/>
        </w:pict>
      </w:r>
    </w:p>
    <w:p w14:paraId="2B47D89C" w14:textId="677CEF45" w:rsidR="009E39CA" w:rsidRPr="009E39CA" w:rsidRDefault="009E39CA" w:rsidP="009E2343">
      <w:pPr>
        <w:tabs>
          <w:tab w:val="left" w:pos="5130"/>
        </w:tabs>
        <w:rPr>
          <w:lang w:val="en-US"/>
        </w:rPr>
      </w:pPr>
      <w:r>
        <w:rPr>
          <w:lang w:val="en-US"/>
        </w:rPr>
        <w:tab/>
      </w:r>
    </w:p>
    <w:sectPr w:rsidR="009E39CA" w:rsidRPr="009E39CA" w:rsidSect="000F5E98">
      <w:headerReference w:type="even" r:id="rId12"/>
      <w:headerReference w:type="default" r:id="rId13"/>
      <w:footerReference w:type="even" r:id="rId14"/>
      <w:footerReference w:type="default" r:id="rId15"/>
      <w:headerReference w:type="first" r:id="rId16"/>
      <w:pgSz w:w="11906" w:h="16838"/>
      <w:pgMar w:top="2960" w:right="1440" w:bottom="1115" w:left="1440" w:header="708"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5EAC3" w14:textId="77777777" w:rsidR="000032AF" w:rsidRDefault="000032AF" w:rsidP="00DC1202">
      <w:pPr>
        <w:spacing w:line="240" w:lineRule="auto"/>
      </w:pPr>
      <w:r>
        <w:separator/>
      </w:r>
    </w:p>
  </w:endnote>
  <w:endnote w:type="continuationSeparator" w:id="0">
    <w:p w14:paraId="73B6840A" w14:textId="77777777" w:rsidR="000032AF" w:rsidRDefault="000032AF" w:rsidP="00DC1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8360225"/>
      <w:docPartObj>
        <w:docPartGallery w:val="Page Numbers (Bottom of Page)"/>
        <w:docPartUnique/>
      </w:docPartObj>
    </w:sdtPr>
    <w:sdtEndPr>
      <w:rPr>
        <w:rStyle w:val="PageNumber"/>
      </w:rPr>
    </w:sdtEndPr>
    <w:sdtContent>
      <w:p w14:paraId="49561ECB" w14:textId="71D6FFE9" w:rsidR="00F16997" w:rsidRDefault="00F16997" w:rsidP="005F0C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F51CE" w14:textId="77777777" w:rsidR="00F16997" w:rsidRDefault="00F16997" w:rsidP="005F0C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13610907"/>
      <w:docPartObj>
        <w:docPartGallery w:val="Page Numbers (Bottom of Page)"/>
        <w:docPartUnique/>
      </w:docPartObj>
    </w:sdtPr>
    <w:sdtEndPr>
      <w:rPr>
        <w:rStyle w:val="PageNumber"/>
      </w:rPr>
    </w:sdtEndPr>
    <w:sdtContent>
      <w:p w14:paraId="13569BE5" w14:textId="41C2A283" w:rsidR="00F16997" w:rsidRPr="005F0CE9" w:rsidRDefault="00F16997" w:rsidP="005F0CE9">
        <w:pPr>
          <w:pStyle w:val="Footer"/>
          <w:framePr w:wrap="none" w:vAnchor="text" w:hAnchor="margin" w:xAlign="right" w:y="1"/>
          <w:rPr>
            <w:rStyle w:val="PageNumber"/>
            <w:lang w:val="fr-BE"/>
          </w:rPr>
        </w:pPr>
        <w:r>
          <w:rPr>
            <w:rStyle w:val="PageNumber"/>
          </w:rPr>
          <w:fldChar w:fldCharType="begin"/>
        </w:r>
        <w:r w:rsidRPr="00104B5C">
          <w:rPr>
            <w:rStyle w:val="PageNumber"/>
            <w:lang w:val="fr-BE"/>
          </w:rPr>
          <w:instrText xml:space="preserve"> PAGE </w:instrText>
        </w:r>
        <w:r>
          <w:rPr>
            <w:rStyle w:val="PageNumber"/>
          </w:rPr>
          <w:fldChar w:fldCharType="separate"/>
        </w:r>
        <w:r w:rsidRPr="005F0CE9">
          <w:rPr>
            <w:rStyle w:val="PageNumber"/>
            <w:noProof/>
            <w:lang w:val="fr-BE"/>
          </w:rPr>
          <w:t>1</w:t>
        </w:r>
        <w:r>
          <w:rPr>
            <w:rStyle w:val="PageNumber"/>
          </w:rPr>
          <w:fldChar w:fldCharType="end"/>
        </w:r>
      </w:p>
    </w:sdtContent>
  </w:sdt>
  <w:p w14:paraId="3E618D97" w14:textId="35A8250F" w:rsidR="005F0CE9" w:rsidRPr="005F0CE9" w:rsidRDefault="005F0CE9" w:rsidP="005F0CE9">
    <w:pPr>
      <w:jc w:val="center"/>
      <w:rPr>
        <w:rFonts w:ascii="Helvetica" w:eastAsia="Times New Roman" w:hAnsi="Helvetica" w:cs="Times New Roman"/>
        <w:sz w:val="16"/>
        <w:szCs w:val="16"/>
        <w:lang w:val="fr-BE" w:eastAsia="en-GB"/>
      </w:rPr>
    </w:pPr>
    <w:r w:rsidRPr="00FE74F2">
      <w:rPr>
        <w:rFonts w:ascii="Helvetica" w:hAnsi="Helvetica"/>
        <w:sz w:val="16"/>
        <w:szCs w:val="16"/>
        <w:lang w:val="fr-BE"/>
      </w:rPr>
      <w:t xml:space="preserve">FEAD AISBL  </w:t>
    </w:r>
    <w:r w:rsidRPr="00FE74F2">
      <w:rPr>
        <w:rFonts w:ascii="Helvetica" w:hAnsi="Helvetica"/>
        <w:b/>
        <w:bCs/>
        <w:sz w:val="16"/>
        <w:szCs w:val="16"/>
        <w:lang w:val="fr-BE"/>
      </w:rPr>
      <w:t>|</w:t>
    </w:r>
    <w:r w:rsidRPr="00FE74F2">
      <w:rPr>
        <w:rFonts w:ascii="Helvetica" w:hAnsi="Helvetica"/>
        <w:sz w:val="16"/>
        <w:szCs w:val="16"/>
        <w:lang w:val="fr-BE"/>
      </w:rPr>
      <w:t xml:space="preserve">  Rue de la Science 23, 1040 Brussels  </w:t>
    </w:r>
    <w:r w:rsidRPr="00FE74F2">
      <w:rPr>
        <w:rFonts w:ascii="Helvetica" w:hAnsi="Helvetica"/>
        <w:b/>
        <w:bCs/>
        <w:color w:val="EB6723" w:themeColor="accent4"/>
        <w:sz w:val="16"/>
        <w:szCs w:val="16"/>
        <w:lang w:val="fr-BE"/>
      </w:rPr>
      <w:t>|</w:t>
    </w:r>
    <w:r w:rsidRPr="00FE74F2">
      <w:rPr>
        <w:rFonts w:ascii="Helvetica" w:hAnsi="Helvetica"/>
        <w:color w:val="FFFFFF" w:themeColor="background1"/>
        <w:sz w:val="16"/>
        <w:szCs w:val="16"/>
        <w:lang w:val="fr-BE"/>
      </w:rPr>
      <w:t xml:space="preserve"> </w:t>
    </w:r>
    <w:r w:rsidRPr="00FE74F2">
      <w:rPr>
        <w:rFonts w:ascii="Helvetica" w:hAnsi="Helvetica"/>
        <w:sz w:val="16"/>
        <w:szCs w:val="16"/>
        <w:lang w:val="fr-BE"/>
      </w:rPr>
      <w:t xml:space="preserve"> +32 2 732 32 13  </w:t>
    </w:r>
    <w:r w:rsidRPr="00FE74F2">
      <w:rPr>
        <w:rFonts w:ascii="Helvetica" w:hAnsi="Helvetica"/>
        <w:b/>
        <w:bCs/>
        <w:color w:val="EB6723" w:themeColor="accent4"/>
        <w:sz w:val="16"/>
        <w:szCs w:val="16"/>
        <w:lang w:val="fr-BE"/>
      </w:rPr>
      <w:t>|</w:t>
    </w:r>
    <w:r w:rsidRPr="00FE74F2">
      <w:rPr>
        <w:rFonts w:ascii="Helvetica" w:hAnsi="Helvetica"/>
        <w:color w:val="FFFFFF" w:themeColor="background1"/>
        <w:sz w:val="16"/>
        <w:szCs w:val="16"/>
        <w:lang w:val="fr-BE"/>
      </w:rPr>
      <w:t xml:space="preserve">  </w:t>
    </w:r>
    <w:r w:rsidRPr="00FE74F2">
      <w:rPr>
        <w:rFonts w:ascii="Helvetica" w:hAnsi="Helvetica"/>
        <w:sz w:val="16"/>
        <w:szCs w:val="16"/>
        <w:lang w:val="fr-BE"/>
      </w:rPr>
      <w:t xml:space="preserve">info@fead.be  </w:t>
    </w:r>
    <w:r w:rsidRPr="00FE74F2">
      <w:rPr>
        <w:rFonts w:ascii="Helvetica" w:hAnsi="Helvetica"/>
        <w:b/>
        <w:bCs/>
        <w:color w:val="EB6723" w:themeColor="accent4"/>
        <w:sz w:val="16"/>
        <w:szCs w:val="16"/>
        <w:lang w:val="fr-BE"/>
      </w:rPr>
      <w:t>|</w:t>
    </w:r>
    <w:r w:rsidRPr="00FE74F2">
      <w:rPr>
        <w:rFonts w:ascii="Helvetica" w:hAnsi="Helvetica"/>
        <w:color w:val="FFFFFF" w:themeColor="background1"/>
        <w:sz w:val="16"/>
        <w:szCs w:val="16"/>
        <w:lang w:val="fr-BE"/>
      </w:rPr>
      <w:t xml:space="preserve">  </w:t>
    </w:r>
    <w:r w:rsidRPr="00FE74F2">
      <w:rPr>
        <w:rFonts w:ascii="Helvetica" w:hAnsi="Helvetica"/>
        <w:sz w:val="16"/>
        <w:szCs w:val="16"/>
        <w:lang w:val="fr-BE"/>
      </w:rPr>
      <w:t>www.fead.be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34599" w14:textId="77777777" w:rsidR="000032AF" w:rsidRDefault="000032AF" w:rsidP="00DC1202">
      <w:pPr>
        <w:spacing w:line="240" w:lineRule="auto"/>
      </w:pPr>
      <w:r>
        <w:separator/>
      </w:r>
    </w:p>
  </w:footnote>
  <w:footnote w:type="continuationSeparator" w:id="0">
    <w:p w14:paraId="151D3FE5" w14:textId="77777777" w:rsidR="000032AF" w:rsidRDefault="000032AF" w:rsidP="00DC1202">
      <w:pPr>
        <w:spacing w:line="240" w:lineRule="auto"/>
      </w:pPr>
      <w:r>
        <w:continuationSeparator/>
      </w:r>
    </w:p>
  </w:footnote>
  <w:footnote w:id="1">
    <w:p w14:paraId="21C2953B" w14:textId="2A36A383" w:rsidR="00E0136F" w:rsidRPr="00E0136F" w:rsidRDefault="00E0136F">
      <w:pPr>
        <w:pStyle w:val="FootnoteText"/>
        <w:rPr>
          <w:lang w:val="en-US"/>
        </w:rPr>
      </w:pPr>
      <w:r>
        <w:rPr>
          <w:rStyle w:val="FootnoteReference"/>
        </w:rPr>
        <w:footnoteRef/>
      </w:r>
      <w:r>
        <w:t xml:space="preserve"> </w:t>
      </w:r>
      <w:r w:rsidRPr="00E0136F">
        <w:rPr>
          <w:lang w:val="en-US"/>
        </w:rPr>
        <w:t>Please find more information about b</w:t>
      </w:r>
      <w:r>
        <w:rPr>
          <w:lang w:val="en-US"/>
        </w:rPr>
        <w:t xml:space="preserve">attery-related fires in waste management sector, as well as possible solutions </w:t>
      </w:r>
      <w:r w:rsidR="00C473A1">
        <w:rPr>
          <w:lang w:val="en-US"/>
        </w:rPr>
        <w:t xml:space="preserve">to put in place to mitigate both the risks and impacts of these fire here: </w:t>
      </w:r>
      <w:hyperlink r:id="rId1" w:history="1">
        <w:r w:rsidR="006273DC" w:rsidRPr="006273DC">
          <w:rPr>
            <w:rStyle w:val="Hyperlink"/>
            <w:lang w:val="en-GB"/>
          </w:rPr>
          <w:t>Battery-Fires-in-Waste-Management_-Joint-Paper.pdf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E57C" w14:textId="386B0B17" w:rsidR="003A18EB" w:rsidRDefault="000032AF">
    <w:pPr>
      <w:pStyle w:val="Header"/>
    </w:pPr>
    <w:r>
      <w:rPr>
        <w:noProof/>
      </w:rPr>
      <w:pict w14:anchorId="7D9546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76469" o:spid="_x0000_s1027" type="#_x0000_t75" style="position:absolute;left:0;text-align:left;margin-left:0;margin-top:0;width:682.55pt;height:964.7pt;z-index:-251658239;mso-wrap-edited:f;mso-position-horizontal:center;mso-position-horizontal-relative:margin;mso-position-vertical:center;mso-position-vertical-relative:margin" o:allowincell="f">
          <v:imagedata r:id="rId1" o:title="icon-watremark-A4-ba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7D753" w14:textId="63E26595" w:rsidR="003A18EB" w:rsidRDefault="000F5E98" w:rsidP="000F5E98">
    <w:pPr>
      <w:pStyle w:val="Header"/>
    </w:pPr>
    <w:r w:rsidRPr="00FC0FC4">
      <w:rPr>
        <w:rFonts w:cs="Arial"/>
        <w:noProof/>
      </w:rPr>
      <w:drawing>
        <wp:anchor distT="0" distB="0" distL="114300" distR="114300" simplePos="0" relativeHeight="251658243" behindDoc="0" locked="0" layoutInCell="1" allowOverlap="1" wp14:anchorId="7F5FF3CB" wp14:editId="4C89C2A3">
          <wp:simplePos x="0" y="0"/>
          <wp:positionH relativeFrom="column">
            <wp:posOffset>-114300</wp:posOffset>
          </wp:positionH>
          <wp:positionV relativeFrom="page">
            <wp:posOffset>448945</wp:posOffset>
          </wp:positionV>
          <wp:extent cx="1951990" cy="1071880"/>
          <wp:effectExtent l="0" t="0" r="3810" b="0"/>
          <wp:wrapNone/>
          <wp:docPr id="875572572" name="Picture 875572572"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ruit&#10;&#10;Description automatically generated"/>
                  <pic:cNvPicPr/>
                </pic:nvPicPr>
                <pic:blipFill rotWithShape="1">
                  <a:blip r:embed="rId1" cstate="print">
                    <a:extLst>
                      <a:ext uri="{28A0092B-C50C-407E-A947-70E740481C1C}">
                        <a14:useLocalDpi xmlns:a14="http://schemas.microsoft.com/office/drawing/2010/main" val="0"/>
                      </a:ext>
                    </a:extLst>
                  </a:blip>
                  <a:srcRect l="28686" t="27747" r="25966" b="34432"/>
                  <a:stretch/>
                </pic:blipFill>
                <pic:spPr bwMode="auto">
                  <a:xfrm>
                    <a:off x="0" y="0"/>
                    <a:ext cx="1951990" cy="1071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32AF">
      <w:rPr>
        <w:noProof/>
      </w:rPr>
      <w:pict w14:anchorId="66EBC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76470" o:spid="_x0000_s1026" type="#_x0000_t75" style="position:absolute;left:0;text-align:left;margin-left:0;margin-top:0;width:682.55pt;height:964.7pt;z-index:-251658238;mso-wrap-edited:f;mso-position-horizontal:center;mso-position-horizontal-relative:margin;mso-position-vertical:center;mso-position-vertical-relative:margin" o:allowincell="f">
          <v:imagedata r:id="rId2" o:title="icon-watremark-A4-bas"/>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415E0" w14:textId="02226A0E" w:rsidR="003A18EB" w:rsidRDefault="000032AF">
    <w:pPr>
      <w:pStyle w:val="Header"/>
    </w:pPr>
    <w:r>
      <w:rPr>
        <w:noProof/>
      </w:rPr>
      <w:pict w14:anchorId="7D4B3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76468" o:spid="_x0000_s1025" type="#_x0000_t75" style="position:absolute;left:0;text-align:left;margin-left:0;margin-top:0;width:682.55pt;height:964.7pt;z-index:-251658240;mso-wrap-edited:f;mso-position-horizontal:center;mso-position-horizontal-relative:margin;mso-position-vertical:center;mso-position-vertical-relative:margin" o:allowincell="f">
          <v:imagedata r:id="rId1" o:title="icon-watremark-A4-b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795ADC"/>
    <w:multiLevelType w:val="hybridMultilevel"/>
    <w:tmpl w:val="5EDCB240"/>
    <w:lvl w:ilvl="0" w:tplc="EFE47E16">
      <w:start w:val="1"/>
      <w:numFmt w:val="bullet"/>
      <w:pStyle w:val="NoSpacing"/>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44270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202"/>
    <w:rsid w:val="000032AF"/>
    <w:rsid w:val="000046CB"/>
    <w:rsid w:val="000270BB"/>
    <w:rsid w:val="00033AFA"/>
    <w:rsid w:val="00037A71"/>
    <w:rsid w:val="0004018A"/>
    <w:rsid w:val="000434DA"/>
    <w:rsid w:val="0007146D"/>
    <w:rsid w:val="00076700"/>
    <w:rsid w:val="00097981"/>
    <w:rsid w:val="000A4743"/>
    <w:rsid w:val="000C342B"/>
    <w:rsid w:val="000E5C1A"/>
    <w:rsid w:val="000F5E98"/>
    <w:rsid w:val="00104B5C"/>
    <w:rsid w:val="0011102C"/>
    <w:rsid w:val="00145A0E"/>
    <w:rsid w:val="00153413"/>
    <w:rsid w:val="00154109"/>
    <w:rsid w:val="0017505A"/>
    <w:rsid w:val="001D1955"/>
    <w:rsid w:val="001F6D86"/>
    <w:rsid w:val="0020317B"/>
    <w:rsid w:val="00241B04"/>
    <w:rsid w:val="002727DC"/>
    <w:rsid w:val="00296B33"/>
    <w:rsid w:val="002A4AE9"/>
    <w:rsid w:val="002C010F"/>
    <w:rsid w:val="0030163A"/>
    <w:rsid w:val="00307EBF"/>
    <w:rsid w:val="00314B44"/>
    <w:rsid w:val="00321E1A"/>
    <w:rsid w:val="00334152"/>
    <w:rsid w:val="0033621E"/>
    <w:rsid w:val="0034578F"/>
    <w:rsid w:val="00356F2D"/>
    <w:rsid w:val="00367B02"/>
    <w:rsid w:val="00385103"/>
    <w:rsid w:val="0039293B"/>
    <w:rsid w:val="0039617D"/>
    <w:rsid w:val="003A18EB"/>
    <w:rsid w:val="003A49D8"/>
    <w:rsid w:val="003B7C62"/>
    <w:rsid w:val="003C3778"/>
    <w:rsid w:val="003D34AF"/>
    <w:rsid w:val="003D485B"/>
    <w:rsid w:val="0040687A"/>
    <w:rsid w:val="00407725"/>
    <w:rsid w:val="00414494"/>
    <w:rsid w:val="00416F2A"/>
    <w:rsid w:val="0044321A"/>
    <w:rsid w:val="00444AE8"/>
    <w:rsid w:val="00450B76"/>
    <w:rsid w:val="00461786"/>
    <w:rsid w:val="004859BB"/>
    <w:rsid w:val="004C409F"/>
    <w:rsid w:val="004E5ABB"/>
    <w:rsid w:val="004F5B16"/>
    <w:rsid w:val="005059B7"/>
    <w:rsid w:val="005075DB"/>
    <w:rsid w:val="00511570"/>
    <w:rsid w:val="0056557D"/>
    <w:rsid w:val="00583B49"/>
    <w:rsid w:val="0058691A"/>
    <w:rsid w:val="00587213"/>
    <w:rsid w:val="005B5DA4"/>
    <w:rsid w:val="005D64B9"/>
    <w:rsid w:val="005E6F45"/>
    <w:rsid w:val="005F0CE9"/>
    <w:rsid w:val="006273DC"/>
    <w:rsid w:val="00641E21"/>
    <w:rsid w:val="00656FAE"/>
    <w:rsid w:val="006777D4"/>
    <w:rsid w:val="0067781D"/>
    <w:rsid w:val="00683A96"/>
    <w:rsid w:val="0068472F"/>
    <w:rsid w:val="006A00CA"/>
    <w:rsid w:val="006A3121"/>
    <w:rsid w:val="006A6482"/>
    <w:rsid w:val="006B2C76"/>
    <w:rsid w:val="006C15F5"/>
    <w:rsid w:val="006D1F01"/>
    <w:rsid w:val="006D387C"/>
    <w:rsid w:val="006D6AD9"/>
    <w:rsid w:val="006D75B1"/>
    <w:rsid w:val="006D7DD1"/>
    <w:rsid w:val="006E6BC5"/>
    <w:rsid w:val="006F3666"/>
    <w:rsid w:val="006F65FA"/>
    <w:rsid w:val="00713842"/>
    <w:rsid w:val="007204CD"/>
    <w:rsid w:val="00727E72"/>
    <w:rsid w:val="00740557"/>
    <w:rsid w:val="007720DD"/>
    <w:rsid w:val="00775678"/>
    <w:rsid w:val="00785F9E"/>
    <w:rsid w:val="00787D6C"/>
    <w:rsid w:val="0079356F"/>
    <w:rsid w:val="007A2700"/>
    <w:rsid w:val="007B390C"/>
    <w:rsid w:val="007B3FC8"/>
    <w:rsid w:val="007B6FB2"/>
    <w:rsid w:val="007D51A3"/>
    <w:rsid w:val="007E3BD3"/>
    <w:rsid w:val="007E40BE"/>
    <w:rsid w:val="007F2957"/>
    <w:rsid w:val="00827228"/>
    <w:rsid w:val="00832639"/>
    <w:rsid w:val="00834569"/>
    <w:rsid w:val="0084611C"/>
    <w:rsid w:val="00853676"/>
    <w:rsid w:val="008634FC"/>
    <w:rsid w:val="00890918"/>
    <w:rsid w:val="008F2E7A"/>
    <w:rsid w:val="008F7FF2"/>
    <w:rsid w:val="0090275F"/>
    <w:rsid w:val="00957512"/>
    <w:rsid w:val="009668E6"/>
    <w:rsid w:val="00973E69"/>
    <w:rsid w:val="0097466D"/>
    <w:rsid w:val="009A7128"/>
    <w:rsid w:val="009D3423"/>
    <w:rsid w:val="009D63B9"/>
    <w:rsid w:val="009E0258"/>
    <w:rsid w:val="009E2343"/>
    <w:rsid w:val="009E39CA"/>
    <w:rsid w:val="009F0ED1"/>
    <w:rsid w:val="00A33E01"/>
    <w:rsid w:val="00A507BE"/>
    <w:rsid w:val="00A739E9"/>
    <w:rsid w:val="00A81AD2"/>
    <w:rsid w:val="00A8373D"/>
    <w:rsid w:val="00AA2C2E"/>
    <w:rsid w:val="00AC3AFA"/>
    <w:rsid w:val="00AE1A05"/>
    <w:rsid w:val="00B173D0"/>
    <w:rsid w:val="00B82446"/>
    <w:rsid w:val="00B84818"/>
    <w:rsid w:val="00BC3F35"/>
    <w:rsid w:val="00BF498D"/>
    <w:rsid w:val="00C07DC9"/>
    <w:rsid w:val="00C11D90"/>
    <w:rsid w:val="00C2139A"/>
    <w:rsid w:val="00C22462"/>
    <w:rsid w:val="00C2647F"/>
    <w:rsid w:val="00C26BE9"/>
    <w:rsid w:val="00C3327E"/>
    <w:rsid w:val="00C35150"/>
    <w:rsid w:val="00C473A1"/>
    <w:rsid w:val="00C731B6"/>
    <w:rsid w:val="00C81FCF"/>
    <w:rsid w:val="00C83295"/>
    <w:rsid w:val="00C95BBF"/>
    <w:rsid w:val="00CA28D5"/>
    <w:rsid w:val="00CF021D"/>
    <w:rsid w:val="00CF05A5"/>
    <w:rsid w:val="00CF2635"/>
    <w:rsid w:val="00CF4197"/>
    <w:rsid w:val="00D0052E"/>
    <w:rsid w:val="00D05548"/>
    <w:rsid w:val="00D463CA"/>
    <w:rsid w:val="00D46A8A"/>
    <w:rsid w:val="00D600B8"/>
    <w:rsid w:val="00D97A91"/>
    <w:rsid w:val="00DA582F"/>
    <w:rsid w:val="00DB2861"/>
    <w:rsid w:val="00DB7930"/>
    <w:rsid w:val="00DC1202"/>
    <w:rsid w:val="00DE152A"/>
    <w:rsid w:val="00DE1599"/>
    <w:rsid w:val="00DE7DAE"/>
    <w:rsid w:val="00E0136F"/>
    <w:rsid w:val="00E1032B"/>
    <w:rsid w:val="00E16444"/>
    <w:rsid w:val="00E561C5"/>
    <w:rsid w:val="00E711FF"/>
    <w:rsid w:val="00E77FA2"/>
    <w:rsid w:val="00E81AD7"/>
    <w:rsid w:val="00E83F36"/>
    <w:rsid w:val="00E854A8"/>
    <w:rsid w:val="00EC008D"/>
    <w:rsid w:val="00EC4FEE"/>
    <w:rsid w:val="00ED5A5F"/>
    <w:rsid w:val="00ED659F"/>
    <w:rsid w:val="00EE1DCF"/>
    <w:rsid w:val="00EE2763"/>
    <w:rsid w:val="00EE5205"/>
    <w:rsid w:val="00F0420E"/>
    <w:rsid w:val="00F06902"/>
    <w:rsid w:val="00F16997"/>
    <w:rsid w:val="00F23D56"/>
    <w:rsid w:val="00F328E0"/>
    <w:rsid w:val="00F45FDA"/>
    <w:rsid w:val="00F50BAD"/>
    <w:rsid w:val="00F52DC6"/>
    <w:rsid w:val="00F64D25"/>
    <w:rsid w:val="00F7404C"/>
    <w:rsid w:val="00F806E0"/>
    <w:rsid w:val="00F81745"/>
    <w:rsid w:val="00F84F04"/>
    <w:rsid w:val="00F8573A"/>
    <w:rsid w:val="00FA1577"/>
    <w:rsid w:val="00FA3064"/>
    <w:rsid w:val="00FB4386"/>
    <w:rsid w:val="00FD5EEE"/>
    <w:rsid w:val="00FF2515"/>
  </w:rsids>
  <m:mathPr>
    <m:mathFont m:val="Cambria Math"/>
    <m:brkBin m:val="before"/>
    <m:brkBinSub m:val="--"/>
    <m:smallFrac m:val="0"/>
    <m:dispDef/>
    <m:lMargin m:val="0"/>
    <m:rMargin m:val="0"/>
    <m:defJc m:val="centerGroup"/>
    <m:wrapIndent m:val="1440"/>
    <m:intLim m:val="subSup"/>
    <m:naryLim m:val="undOvr"/>
  </m:mathPr>
  <w:themeFontLang w:val="en-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C9B1F"/>
  <w15:chartTrackingRefBased/>
  <w15:docId w15:val="{5AF92117-BA8F-4029-84B8-BCBBC3532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kern w:val="22"/>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Body text"/>
    <w:qFormat/>
    <w:rsid w:val="00DC1202"/>
    <w:pPr>
      <w:spacing w:line="360" w:lineRule="auto"/>
      <w:jc w:val="both"/>
    </w:pPr>
    <w:rPr>
      <w:rFonts w:eastAsiaTheme="minorHAnsi" w:cstheme="minorBidi"/>
      <w:color w:val="1F3C7F" w:themeColor="text2"/>
      <w:kern w:val="0"/>
      <w:szCs w:val="24"/>
      <w:lang w:val="en-GB"/>
    </w:rPr>
  </w:style>
  <w:style w:type="paragraph" w:styleId="Heading1">
    <w:name w:val="heading 1"/>
    <w:basedOn w:val="Normal"/>
    <w:next w:val="Normal"/>
    <w:link w:val="Heading1Char"/>
    <w:uiPriority w:val="9"/>
    <w:rsid w:val="00DC1202"/>
    <w:pPr>
      <w:keepNext/>
      <w:keepLines/>
      <w:spacing w:before="360" w:after="80"/>
      <w:outlineLvl w:val="0"/>
    </w:pPr>
    <w:rPr>
      <w:rFonts w:asciiTheme="majorHAnsi" w:eastAsiaTheme="majorEastAsia" w:hAnsiTheme="majorHAnsi" w:cstheme="majorBidi"/>
      <w:color w:val="007CA8" w:themeColor="accent1" w:themeShade="BF"/>
      <w:sz w:val="40"/>
      <w:szCs w:val="40"/>
    </w:rPr>
  </w:style>
  <w:style w:type="paragraph" w:styleId="Heading2">
    <w:name w:val="heading 2"/>
    <w:aliases w:val="Subtitle 2"/>
    <w:basedOn w:val="Normal"/>
    <w:next w:val="Normal"/>
    <w:link w:val="Heading2Char"/>
    <w:uiPriority w:val="9"/>
    <w:unhideWhenUsed/>
    <w:qFormat/>
    <w:rsid w:val="00DC1202"/>
    <w:pPr>
      <w:outlineLvl w:val="1"/>
    </w:pPr>
    <w:rPr>
      <w:b/>
      <w:bCs/>
      <w:color w:val="00A7E1" w:themeColor="accent1"/>
      <w:sz w:val="24"/>
    </w:rPr>
  </w:style>
  <w:style w:type="paragraph" w:styleId="Heading3">
    <w:name w:val="heading 3"/>
    <w:aliases w:val="Footnotes"/>
    <w:basedOn w:val="FootnoteText"/>
    <w:next w:val="Normal"/>
    <w:link w:val="Heading3Char"/>
    <w:uiPriority w:val="9"/>
    <w:unhideWhenUsed/>
    <w:rsid w:val="00DC1202"/>
    <w:pPr>
      <w:spacing w:before="40" w:line="276" w:lineRule="auto"/>
      <w:outlineLvl w:val="2"/>
    </w:pPr>
    <w:rPr>
      <w:rFonts w:cs="Arial"/>
      <w:color w:val="979797" w:themeColor="text1" w:themeTint="99"/>
      <w:szCs w:val="18"/>
    </w:rPr>
  </w:style>
  <w:style w:type="paragraph" w:styleId="Heading4">
    <w:name w:val="heading 4"/>
    <w:basedOn w:val="Normal"/>
    <w:next w:val="Normal"/>
    <w:link w:val="Heading4Char"/>
    <w:uiPriority w:val="9"/>
    <w:semiHidden/>
    <w:unhideWhenUsed/>
    <w:rsid w:val="00DC1202"/>
    <w:pPr>
      <w:keepNext/>
      <w:keepLines/>
      <w:spacing w:before="80" w:after="40"/>
      <w:outlineLvl w:val="3"/>
    </w:pPr>
    <w:rPr>
      <w:rFonts w:asciiTheme="minorHAnsi" w:eastAsiaTheme="majorEastAsia" w:hAnsiTheme="minorHAnsi" w:cstheme="majorBidi"/>
      <w:i/>
      <w:iCs/>
      <w:color w:val="007CA8" w:themeColor="accent1" w:themeShade="BF"/>
    </w:rPr>
  </w:style>
  <w:style w:type="paragraph" w:styleId="Heading5">
    <w:name w:val="heading 5"/>
    <w:basedOn w:val="Normal"/>
    <w:next w:val="Normal"/>
    <w:link w:val="Heading5Char"/>
    <w:uiPriority w:val="9"/>
    <w:semiHidden/>
    <w:unhideWhenUsed/>
    <w:qFormat/>
    <w:rsid w:val="00DC1202"/>
    <w:pPr>
      <w:keepNext/>
      <w:keepLines/>
      <w:spacing w:before="80" w:after="40"/>
      <w:outlineLvl w:val="4"/>
    </w:pPr>
    <w:rPr>
      <w:rFonts w:asciiTheme="minorHAnsi" w:eastAsiaTheme="majorEastAsia" w:hAnsiTheme="minorHAnsi" w:cstheme="majorBidi"/>
      <w:color w:val="007CA8" w:themeColor="accent1" w:themeShade="BF"/>
    </w:rPr>
  </w:style>
  <w:style w:type="paragraph" w:styleId="Heading6">
    <w:name w:val="heading 6"/>
    <w:basedOn w:val="Normal"/>
    <w:next w:val="Normal"/>
    <w:link w:val="Heading6Char"/>
    <w:uiPriority w:val="9"/>
    <w:semiHidden/>
    <w:unhideWhenUsed/>
    <w:qFormat/>
    <w:rsid w:val="00DC1202"/>
    <w:pPr>
      <w:keepNext/>
      <w:keepLines/>
      <w:spacing w:before="40"/>
      <w:outlineLvl w:val="5"/>
    </w:pPr>
    <w:rPr>
      <w:rFonts w:asciiTheme="minorHAnsi" w:eastAsiaTheme="majorEastAsia" w:hAnsiTheme="minorHAnsi" w:cstheme="majorBidi"/>
      <w:i/>
      <w:iCs/>
      <w:color w:val="8F8F8F" w:themeColor="text1" w:themeTint="A6"/>
    </w:rPr>
  </w:style>
  <w:style w:type="paragraph" w:styleId="Heading7">
    <w:name w:val="heading 7"/>
    <w:basedOn w:val="Normal"/>
    <w:next w:val="Normal"/>
    <w:link w:val="Heading7Char"/>
    <w:uiPriority w:val="9"/>
    <w:semiHidden/>
    <w:unhideWhenUsed/>
    <w:qFormat/>
    <w:rsid w:val="00DC1202"/>
    <w:pPr>
      <w:keepNext/>
      <w:keepLines/>
      <w:spacing w:before="40"/>
      <w:outlineLvl w:val="6"/>
    </w:pPr>
    <w:rPr>
      <w:rFonts w:asciiTheme="minorHAnsi" w:eastAsiaTheme="majorEastAsia" w:hAnsiTheme="minorHAnsi" w:cstheme="majorBidi"/>
      <w:color w:val="8F8F8F" w:themeColor="text1" w:themeTint="A6"/>
    </w:rPr>
  </w:style>
  <w:style w:type="paragraph" w:styleId="Heading8">
    <w:name w:val="heading 8"/>
    <w:basedOn w:val="Normal"/>
    <w:next w:val="Normal"/>
    <w:link w:val="Heading8Char"/>
    <w:uiPriority w:val="9"/>
    <w:semiHidden/>
    <w:unhideWhenUsed/>
    <w:qFormat/>
    <w:rsid w:val="00DC1202"/>
    <w:pPr>
      <w:keepNext/>
      <w:keepLines/>
      <w:outlineLvl w:val="7"/>
    </w:pPr>
    <w:rPr>
      <w:rFonts w:asciiTheme="minorHAnsi" w:eastAsiaTheme="majorEastAsia" w:hAnsiTheme="minorHAnsi" w:cstheme="majorBidi"/>
      <w:i/>
      <w:iCs/>
      <w:color w:val="6D6D6D" w:themeColor="text1" w:themeTint="D8"/>
    </w:rPr>
  </w:style>
  <w:style w:type="paragraph" w:styleId="Heading9">
    <w:name w:val="heading 9"/>
    <w:basedOn w:val="Normal"/>
    <w:next w:val="Normal"/>
    <w:link w:val="Heading9Char"/>
    <w:uiPriority w:val="9"/>
    <w:semiHidden/>
    <w:unhideWhenUsed/>
    <w:qFormat/>
    <w:rsid w:val="00DC1202"/>
    <w:pPr>
      <w:keepNext/>
      <w:keepLines/>
      <w:outlineLvl w:val="8"/>
    </w:pPr>
    <w:rPr>
      <w:rFonts w:asciiTheme="minorHAnsi" w:eastAsiaTheme="majorEastAsia" w:hAnsiTheme="minorHAnsi" w:cstheme="majorBidi"/>
      <w:color w:val="6D6D6D"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ellenraster21">
    <w:name w:val="Tabellenraster 21"/>
    <w:basedOn w:val="TableNormal"/>
    <w:next w:val="TableGrid"/>
    <w:uiPriority w:val="39"/>
    <w:rsid w:val="005D64B9"/>
    <w:rPr>
      <w:rFonts w:ascii="Calibri" w:eastAsiaTheme="minorHAnsi" w:hAnsi="Calibri"/>
      <w:lang w:val="de-DE"/>
    </w:rPr>
    <w:tblPr>
      <w:tblStyleRowBandSize w:val="1"/>
      <w:tblBorders>
        <w:top w:val="single" w:sz="4" w:space="0" w:color="535353" w:themeColor="text1"/>
        <w:left w:val="single" w:sz="4" w:space="0" w:color="535353" w:themeColor="text1"/>
        <w:bottom w:val="single" w:sz="4" w:space="0" w:color="535353" w:themeColor="text1"/>
        <w:right w:val="single" w:sz="4" w:space="0" w:color="535353" w:themeColor="text1"/>
        <w:insideH w:val="single" w:sz="4" w:space="0" w:color="535353" w:themeColor="text1"/>
        <w:insideV w:val="single" w:sz="4" w:space="0" w:color="535353" w:themeColor="text1"/>
      </w:tblBorders>
    </w:tblPr>
    <w:tcPr>
      <w:vAlign w:val="center"/>
    </w:tcPr>
    <w:tblStylePr w:type="firstRow">
      <w:rPr>
        <w:rFonts w:ascii="Calibri" w:hAnsi="Calibri"/>
        <w:b/>
        <w:i w:val="0"/>
        <w:color w:val="FFFFFF" w:themeColor="background1"/>
        <w:sz w:val="24"/>
      </w:rPr>
      <w:tblPr/>
      <w:tcPr>
        <w:shd w:val="clear" w:color="auto" w:fill="535353" w:themeFill="text1"/>
      </w:tcPr>
    </w:tblStylePr>
    <w:tblStylePr w:type="band1Horz">
      <w:tblPr/>
      <w:tcPr>
        <w:shd w:val="clear" w:color="auto" w:fill="C6D3F1" w:themeFill="text2" w:themeFillTint="33"/>
      </w:tcPr>
    </w:tblStylePr>
  </w:style>
  <w:style w:type="table" w:styleId="TableGrid">
    <w:name w:val="Table Grid"/>
    <w:basedOn w:val="TableNormal"/>
    <w:uiPriority w:val="39"/>
    <w:rsid w:val="005D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
    <w:name w:val="Table"/>
    <w:basedOn w:val="TableNormal"/>
    <w:next w:val="TableGrid"/>
    <w:uiPriority w:val="39"/>
    <w:rsid w:val="00314B44"/>
    <w:rPr>
      <w:rFonts w:ascii="Calibri" w:eastAsiaTheme="minorHAnsi" w:hAnsi="Calibri"/>
      <w:lang w:val="de-DE"/>
    </w:rPr>
    <w:tblPr>
      <w:tblStyleRowBandSize w:val="1"/>
      <w:tblBorders>
        <w:top w:val="single" w:sz="4" w:space="0" w:color="535353" w:themeColor="text1"/>
        <w:left w:val="single" w:sz="4" w:space="0" w:color="535353" w:themeColor="text1"/>
        <w:bottom w:val="single" w:sz="4" w:space="0" w:color="535353" w:themeColor="text1"/>
        <w:right w:val="single" w:sz="4" w:space="0" w:color="535353" w:themeColor="text1"/>
        <w:insideH w:val="single" w:sz="4" w:space="0" w:color="535353" w:themeColor="text1"/>
        <w:insideV w:val="single" w:sz="4" w:space="0" w:color="535353" w:themeColor="text1"/>
      </w:tblBorders>
    </w:tblPr>
    <w:tcPr>
      <w:vAlign w:val="center"/>
    </w:tcPr>
    <w:tblStylePr w:type="firstRow">
      <w:rPr>
        <w:rFonts w:ascii="Calibri" w:hAnsi="Calibri"/>
        <w:b/>
        <w:i w:val="0"/>
        <w:color w:val="FFFFFF" w:themeColor="background1"/>
        <w:sz w:val="28"/>
      </w:rPr>
      <w:tblPr/>
      <w:tcPr>
        <w:tcBorders>
          <w:top w:val="single" w:sz="4" w:space="0" w:color="535353" w:themeColor="text1"/>
          <w:left w:val="single" w:sz="4" w:space="0" w:color="535353" w:themeColor="text1"/>
          <w:bottom w:val="single" w:sz="4" w:space="0" w:color="535353" w:themeColor="text1"/>
          <w:right w:val="single" w:sz="4" w:space="0" w:color="535353" w:themeColor="text1"/>
          <w:insideV w:val="single" w:sz="4" w:space="0" w:color="FFFFFF" w:themeColor="background1"/>
        </w:tcBorders>
        <w:shd w:val="clear" w:color="auto" w:fill="535353" w:themeFill="text1"/>
      </w:tcPr>
    </w:tblStylePr>
    <w:tblStylePr w:type="band1Horz">
      <w:tblPr/>
      <w:tcPr>
        <w:shd w:val="clear" w:color="auto" w:fill="DCDCDC" w:themeFill="text1" w:themeFillTint="33"/>
      </w:tcPr>
    </w:tblStylePr>
  </w:style>
  <w:style w:type="character" w:customStyle="1" w:styleId="Heading1Char">
    <w:name w:val="Heading 1 Char"/>
    <w:basedOn w:val="DefaultParagraphFont"/>
    <w:link w:val="Heading1"/>
    <w:uiPriority w:val="9"/>
    <w:rsid w:val="00DC1202"/>
    <w:rPr>
      <w:rFonts w:asciiTheme="majorHAnsi" w:eastAsiaTheme="majorEastAsia" w:hAnsiTheme="majorHAnsi" w:cstheme="majorBidi"/>
      <w:color w:val="007CA8" w:themeColor="accent1" w:themeShade="BF"/>
      <w:sz w:val="40"/>
      <w:szCs w:val="40"/>
    </w:rPr>
  </w:style>
  <w:style w:type="character" w:customStyle="1" w:styleId="Heading2Char">
    <w:name w:val="Heading 2 Char"/>
    <w:aliases w:val="Subtitle 2 Char"/>
    <w:basedOn w:val="DefaultParagraphFont"/>
    <w:link w:val="Heading2"/>
    <w:uiPriority w:val="9"/>
    <w:rsid w:val="00DC1202"/>
    <w:rPr>
      <w:rFonts w:eastAsiaTheme="minorHAnsi" w:cstheme="minorBidi"/>
      <w:b/>
      <w:bCs/>
      <w:color w:val="00A7E1" w:themeColor="accent1"/>
      <w:kern w:val="0"/>
      <w:sz w:val="24"/>
      <w:szCs w:val="24"/>
      <w:lang w:val="en-GB"/>
    </w:rPr>
  </w:style>
  <w:style w:type="character" w:customStyle="1" w:styleId="Heading3Char">
    <w:name w:val="Heading 3 Char"/>
    <w:aliases w:val="Footnotes Char"/>
    <w:basedOn w:val="DefaultParagraphFont"/>
    <w:link w:val="Heading3"/>
    <w:uiPriority w:val="9"/>
    <w:rsid w:val="00DC1202"/>
    <w:rPr>
      <w:rFonts w:eastAsia="Times New Roman" w:cs="Arial"/>
      <w:color w:val="979797" w:themeColor="text1" w:themeTint="99"/>
      <w:kern w:val="0"/>
      <w:sz w:val="20"/>
      <w:szCs w:val="18"/>
      <w:lang w:val="de-DE" w:eastAsia="de-DE"/>
    </w:rPr>
  </w:style>
  <w:style w:type="character" w:customStyle="1" w:styleId="Heading4Char">
    <w:name w:val="Heading 4 Char"/>
    <w:basedOn w:val="DefaultParagraphFont"/>
    <w:link w:val="Heading4"/>
    <w:uiPriority w:val="9"/>
    <w:semiHidden/>
    <w:rsid w:val="00DC1202"/>
    <w:rPr>
      <w:rFonts w:asciiTheme="minorHAnsi" w:eastAsiaTheme="majorEastAsia" w:hAnsiTheme="minorHAnsi" w:cstheme="majorBidi"/>
      <w:i/>
      <w:iCs/>
      <w:color w:val="007CA8" w:themeColor="accent1" w:themeShade="BF"/>
    </w:rPr>
  </w:style>
  <w:style w:type="character" w:customStyle="1" w:styleId="Heading5Char">
    <w:name w:val="Heading 5 Char"/>
    <w:basedOn w:val="DefaultParagraphFont"/>
    <w:link w:val="Heading5"/>
    <w:uiPriority w:val="9"/>
    <w:semiHidden/>
    <w:rsid w:val="00DC1202"/>
    <w:rPr>
      <w:rFonts w:asciiTheme="minorHAnsi" w:eastAsiaTheme="majorEastAsia" w:hAnsiTheme="minorHAnsi" w:cstheme="majorBidi"/>
      <w:color w:val="007CA8" w:themeColor="accent1" w:themeShade="BF"/>
    </w:rPr>
  </w:style>
  <w:style w:type="character" w:customStyle="1" w:styleId="Heading6Char">
    <w:name w:val="Heading 6 Char"/>
    <w:basedOn w:val="DefaultParagraphFont"/>
    <w:link w:val="Heading6"/>
    <w:uiPriority w:val="9"/>
    <w:semiHidden/>
    <w:rsid w:val="00DC1202"/>
    <w:rPr>
      <w:rFonts w:asciiTheme="minorHAnsi" w:eastAsiaTheme="majorEastAsia" w:hAnsiTheme="minorHAnsi" w:cstheme="majorBidi"/>
      <w:i/>
      <w:iCs/>
      <w:color w:val="8F8F8F" w:themeColor="text1" w:themeTint="A6"/>
    </w:rPr>
  </w:style>
  <w:style w:type="character" w:customStyle="1" w:styleId="Heading7Char">
    <w:name w:val="Heading 7 Char"/>
    <w:basedOn w:val="DefaultParagraphFont"/>
    <w:link w:val="Heading7"/>
    <w:uiPriority w:val="9"/>
    <w:semiHidden/>
    <w:rsid w:val="00DC1202"/>
    <w:rPr>
      <w:rFonts w:asciiTheme="minorHAnsi" w:eastAsiaTheme="majorEastAsia" w:hAnsiTheme="minorHAnsi" w:cstheme="majorBidi"/>
      <w:color w:val="8F8F8F" w:themeColor="text1" w:themeTint="A6"/>
    </w:rPr>
  </w:style>
  <w:style w:type="character" w:customStyle="1" w:styleId="Heading8Char">
    <w:name w:val="Heading 8 Char"/>
    <w:basedOn w:val="DefaultParagraphFont"/>
    <w:link w:val="Heading8"/>
    <w:uiPriority w:val="9"/>
    <w:semiHidden/>
    <w:rsid w:val="00DC1202"/>
    <w:rPr>
      <w:rFonts w:asciiTheme="minorHAnsi" w:eastAsiaTheme="majorEastAsia" w:hAnsiTheme="minorHAnsi" w:cstheme="majorBidi"/>
      <w:i/>
      <w:iCs/>
      <w:color w:val="6D6D6D" w:themeColor="text1" w:themeTint="D8"/>
    </w:rPr>
  </w:style>
  <w:style w:type="character" w:customStyle="1" w:styleId="Heading9Char">
    <w:name w:val="Heading 9 Char"/>
    <w:basedOn w:val="DefaultParagraphFont"/>
    <w:link w:val="Heading9"/>
    <w:uiPriority w:val="9"/>
    <w:semiHidden/>
    <w:rsid w:val="00DC1202"/>
    <w:rPr>
      <w:rFonts w:asciiTheme="minorHAnsi" w:eastAsiaTheme="majorEastAsia" w:hAnsiTheme="minorHAnsi" w:cstheme="majorBidi"/>
      <w:color w:val="6D6D6D" w:themeColor="text1" w:themeTint="D8"/>
    </w:rPr>
  </w:style>
  <w:style w:type="paragraph" w:styleId="Title">
    <w:name w:val="Title"/>
    <w:aliases w:val="Main Title"/>
    <w:basedOn w:val="Normal"/>
    <w:next w:val="Normal"/>
    <w:link w:val="TitleChar"/>
    <w:uiPriority w:val="10"/>
    <w:qFormat/>
    <w:rsid w:val="00E77FA2"/>
    <w:pPr>
      <w:widowControl w:val="0"/>
      <w:autoSpaceDE w:val="0"/>
      <w:autoSpaceDN w:val="0"/>
      <w:spacing w:before="60" w:after="180"/>
      <w:jc w:val="left"/>
    </w:pPr>
    <w:rPr>
      <w:rFonts w:eastAsia="Times New Roman" w:cs="Times New Roman"/>
      <w:b/>
      <w:sz w:val="40"/>
      <w:szCs w:val="40"/>
    </w:rPr>
  </w:style>
  <w:style w:type="character" w:customStyle="1" w:styleId="TitleChar">
    <w:name w:val="Title Char"/>
    <w:aliases w:val="Main Title Char"/>
    <w:basedOn w:val="DefaultParagraphFont"/>
    <w:link w:val="Title"/>
    <w:uiPriority w:val="10"/>
    <w:rsid w:val="00E77FA2"/>
    <w:rPr>
      <w:rFonts w:eastAsia="Times New Roman"/>
      <w:b/>
      <w:color w:val="1F3C7F" w:themeColor="text2"/>
      <w:kern w:val="0"/>
      <w:sz w:val="40"/>
      <w:szCs w:val="40"/>
      <w:lang w:val="en-GB"/>
    </w:rPr>
  </w:style>
  <w:style w:type="paragraph" w:styleId="Subtitle">
    <w:name w:val="Subtitle"/>
    <w:aliases w:val="Subtitle 1"/>
    <w:basedOn w:val="Corps"/>
    <w:next w:val="Normal"/>
    <w:link w:val="SubtitleChar"/>
    <w:uiPriority w:val="11"/>
    <w:qFormat/>
    <w:rsid w:val="00DC1202"/>
    <w:pPr>
      <w:widowControl w:val="0"/>
      <w:spacing w:before="360" w:after="180"/>
      <w:jc w:val="both"/>
    </w:pPr>
    <w:rPr>
      <w:rFonts w:cs="Arial"/>
      <w:b/>
      <w:bCs/>
      <w:color w:val="1F3C7F" w:themeColor="text2"/>
      <w:sz w:val="28"/>
      <w:szCs w:val="28"/>
      <w:lang w:val="en-US"/>
    </w:rPr>
  </w:style>
  <w:style w:type="character" w:customStyle="1" w:styleId="SubtitleChar">
    <w:name w:val="Subtitle Char"/>
    <w:aliases w:val="Subtitle 1 Char"/>
    <w:basedOn w:val="DefaultParagraphFont"/>
    <w:link w:val="Subtitle"/>
    <w:uiPriority w:val="11"/>
    <w:rsid w:val="00DC1202"/>
    <w:rPr>
      <w:rFonts w:eastAsia="Arial Unicode MS" w:cs="Arial"/>
      <w:b/>
      <w:bCs/>
      <w:color w:val="1F3C7F" w:themeColor="text2"/>
      <w:kern w:val="0"/>
      <w:sz w:val="28"/>
      <w:szCs w:val="28"/>
      <w:u w:color="525352"/>
      <w:lang w:val="en-US"/>
      <w14:textOutline w14:w="0" w14:cap="flat" w14:cmpd="sng" w14:algn="ctr">
        <w14:noFill/>
        <w14:prstDash w14:val="solid"/>
        <w14:bevel/>
      </w14:textOutline>
    </w:rPr>
  </w:style>
  <w:style w:type="paragraph" w:styleId="Quote">
    <w:name w:val="Quote"/>
    <w:basedOn w:val="Normal"/>
    <w:next w:val="Normal"/>
    <w:link w:val="QuoteChar"/>
    <w:uiPriority w:val="29"/>
    <w:rsid w:val="00DC1202"/>
    <w:pPr>
      <w:spacing w:before="160" w:after="160"/>
      <w:jc w:val="center"/>
    </w:pPr>
    <w:rPr>
      <w:i/>
      <w:iCs/>
      <w:color w:val="7E7E7E" w:themeColor="text1" w:themeTint="BF"/>
    </w:rPr>
  </w:style>
  <w:style w:type="character" w:customStyle="1" w:styleId="QuoteChar">
    <w:name w:val="Quote Char"/>
    <w:basedOn w:val="DefaultParagraphFont"/>
    <w:link w:val="Quote"/>
    <w:uiPriority w:val="29"/>
    <w:rsid w:val="00DC1202"/>
    <w:rPr>
      <w:i/>
      <w:iCs/>
      <w:color w:val="7E7E7E" w:themeColor="text1" w:themeTint="BF"/>
    </w:rPr>
  </w:style>
  <w:style w:type="paragraph" w:styleId="ListParagraph">
    <w:name w:val="List Paragraph"/>
    <w:basedOn w:val="Normal"/>
    <w:uiPriority w:val="34"/>
    <w:rsid w:val="00DC1202"/>
    <w:pPr>
      <w:ind w:left="720"/>
      <w:contextualSpacing/>
    </w:pPr>
  </w:style>
  <w:style w:type="character" w:styleId="IntenseEmphasis">
    <w:name w:val="Intense Emphasis"/>
    <w:basedOn w:val="DefaultParagraphFont"/>
    <w:uiPriority w:val="21"/>
    <w:rsid w:val="00DC1202"/>
    <w:rPr>
      <w:i/>
      <w:iCs/>
      <w:color w:val="007CA8" w:themeColor="accent1" w:themeShade="BF"/>
    </w:rPr>
  </w:style>
  <w:style w:type="paragraph" w:styleId="IntenseQuote">
    <w:name w:val="Intense Quote"/>
    <w:basedOn w:val="Normal"/>
    <w:next w:val="Normal"/>
    <w:link w:val="IntenseQuoteChar"/>
    <w:uiPriority w:val="30"/>
    <w:rsid w:val="00DC1202"/>
    <w:pPr>
      <w:pBdr>
        <w:top w:val="single" w:sz="4" w:space="10" w:color="007CA8" w:themeColor="accent1" w:themeShade="BF"/>
        <w:bottom w:val="single" w:sz="4" w:space="10" w:color="007CA8" w:themeColor="accent1" w:themeShade="BF"/>
      </w:pBdr>
      <w:spacing w:before="360" w:after="360"/>
      <w:ind w:left="864" w:right="864"/>
      <w:jc w:val="center"/>
    </w:pPr>
    <w:rPr>
      <w:i/>
      <w:iCs/>
      <w:color w:val="007CA8" w:themeColor="accent1" w:themeShade="BF"/>
    </w:rPr>
  </w:style>
  <w:style w:type="character" w:customStyle="1" w:styleId="IntenseQuoteChar">
    <w:name w:val="Intense Quote Char"/>
    <w:basedOn w:val="DefaultParagraphFont"/>
    <w:link w:val="IntenseQuote"/>
    <w:uiPriority w:val="30"/>
    <w:rsid w:val="00DC1202"/>
    <w:rPr>
      <w:i/>
      <w:iCs/>
      <w:color w:val="007CA8" w:themeColor="accent1" w:themeShade="BF"/>
    </w:rPr>
  </w:style>
  <w:style w:type="character" w:styleId="IntenseReference">
    <w:name w:val="Intense Reference"/>
    <w:basedOn w:val="DefaultParagraphFont"/>
    <w:uiPriority w:val="32"/>
    <w:rsid w:val="00DC1202"/>
    <w:rPr>
      <w:b/>
      <w:bCs/>
      <w:smallCaps/>
      <w:color w:val="007CA8" w:themeColor="accent1" w:themeShade="BF"/>
      <w:spacing w:val="5"/>
    </w:rPr>
  </w:style>
  <w:style w:type="character" w:customStyle="1" w:styleId="Aucun">
    <w:name w:val="Aucun"/>
    <w:rsid w:val="00DC1202"/>
  </w:style>
  <w:style w:type="paragraph" w:customStyle="1" w:styleId="Corps">
    <w:name w:val="Corps"/>
    <w:rsid w:val="00DC1202"/>
    <w:rPr>
      <w:rFonts w:eastAsia="Arial Unicode MS" w:cs="Arial Unicode MS"/>
      <w:color w:val="525352"/>
      <w:kern w:val="0"/>
      <w:u w:color="525352"/>
      <w:lang w:val="fr-BE"/>
      <w14:textOutline w14:w="0" w14:cap="flat" w14:cmpd="sng" w14:algn="ctr">
        <w14:noFill/>
        <w14:prstDash w14:val="solid"/>
        <w14:bevel/>
      </w14:textOutline>
    </w:rPr>
  </w:style>
  <w:style w:type="character" w:styleId="Hyperlink">
    <w:name w:val="Hyperlink"/>
    <w:basedOn w:val="DefaultParagraphFont"/>
    <w:uiPriority w:val="99"/>
    <w:unhideWhenUsed/>
    <w:rsid w:val="00DC1202"/>
    <w:rPr>
      <w:color w:val="00A7E1" w:themeColor="hyperlink"/>
      <w:u w:val="single"/>
    </w:rPr>
  </w:style>
  <w:style w:type="paragraph" w:styleId="FootnoteText">
    <w:name w:val="footnote text"/>
    <w:basedOn w:val="Normal"/>
    <w:link w:val="FootnoteTextChar"/>
    <w:uiPriority w:val="99"/>
    <w:rsid w:val="005F0CE9"/>
    <w:pPr>
      <w:keepNext/>
      <w:keepLines/>
      <w:tabs>
        <w:tab w:val="left" w:pos="284"/>
      </w:tabs>
      <w:spacing w:before="57" w:line="260" w:lineRule="exact"/>
      <w:ind w:left="284" w:hanging="284"/>
      <w:jc w:val="left"/>
    </w:pPr>
    <w:rPr>
      <w:rFonts w:eastAsia="Times New Roman" w:cs="Times New Roman"/>
      <w:sz w:val="16"/>
      <w:szCs w:val="20"/>
      <w:lang w:val="de-DE" w:eastAsia="de-DE"/>
    </w:rPr>
  </w:style>
  <w:style w:type="character" w:customStyle="1" w:styleId="FootnoteTextChar">
    <w:name w:val="Footnote Text Char"/>
    <w:basedOn w:val="DefaultParagraphFont"/>
    <w:link w:val="FootnoteText"/>
    <w:uiPriority w:val="99"/>
    <w:rsid w:val="005F0CE9"/>
    <w:rPr>
      <w:rFonts w:eastAsia="Times New Roman"/>
      <w:color w:val="1F3C7F" w:themeColor="text2"/>
      <w:kern w:val="0"/>
      <w:sz w:val="16"/>
      <w:szCs w:val="20"/>
      <w:lang w:val="de-DE" w:eastAsia="de-DE"/>
    </w:rPr>
  </w:style>
  <w:style w:type="character" w:styleId="FootnoteReference">
    <w:name w:val="footnote reference"/>
    <w:basedOn w:val="DefaultParagraphFont"/>
    <w:uiPriority w:val="99"/>
    <w:rsid w:val="00DC1202"/>
    <w:rPr>
      <w:sz w:val="18"/>
      <w:vertAlign w:val="superscript"/>
    </w:rPr>
  </w:style>
  <w:style w:type="paragraph" w:styleId="NoSpacing">
    <w:name w:val="No Spacing"/>
    <w:aliases w:val="Bullet points"/>
    <w:basedOn w:val="Corps"/>
    <w:uiPriority w:val="1"/>
    <w:qFormat/>
    <w:rsid w:val="00DC1202"/>
    <w:pPr>
      <w:widowControl w:val="0"/>
      <w:numPr>
        <w:numId w:val="1"/>
      </w:numPr>
      <w:spacing w:before="60" w:after="240" w:line="360" w:lineRule="auto"/>
      <w:ind w:left="714" w:hanging="357"/>
      <w:jc w:val="both"/>
    </w:pPr>
    <w:rPr>
      <w:rFonts w:cs="Arial"/>
      <w:color w:val="1F3C7F" w:themeColor="text2"/>
      <w:lang w:val="en-US"/>
    </w:rPr>
  </w:style>
  <w:style w:type="paragraph" w:styleId="Header">
    <w:name w:val="header"/>
    <w:basedOn w:val="Normal"/>
    <w:link w:val="HeaderChar"/>
    <w:uiPriority w:val="99"/>
    <w:unhideWhenUsed/>
    <w:rsid w:val="009D3423"/>
    <w:pPr>
      <w:tabs>
        <w:tab w:val="center" w:pos="4513"/>
        <w:tab w:val="right" w:pos="9026"/>
      </w:tabs>
      <w:spacing w:line="240" w:lineRule="auto"/>
    </w:pPr>
  </w:style>
  <w:style w:type="character" w:customStyle="1" w:styleId="HeaderChar">
    <w:name w:val="Header Char"/>
    <w:basedOn w:val="DefaultParagraphFont"/>
    <w:link w:val="Header"/>
    <w:uiPriority w:val="99"/>
    <w:rsid w:val="009D3423"/>
    <w:rPr>
      <w:rFonts w:eastAsiaTheme="minorHAnsi" w:cstheme="minorBidi"/>
      <w:color w:val="1F3C7F" w:themeColor="text2"/>
      <w:kern w:val="0"/>
      <w:szCs w:val="24"/>
      <w:lang w:val="en-GB"/>
    </w:rPr>
  </w:style>
  <w:style w:type="paragraph" w:styleId="Footer">
    <w:name w:val="footer"/>
    <w:basedOn w:val="Normal"/>
    <w:link w:val="FooterChar"/>
    <w:uiPriority w:val="99"/>
    <w:unhideWhenUsed/>
    <w:rsid w:val="009D3423"/>
    <w:pPr>
      <w:tabs>
        <w:tab w:val="center" w:pos="4513"/>
        <w:tab w:val="right" w:pos="9026"/>
      </w:tabs>
      <w:spacing w:line="240" w:lineRule="auto"/>
    </w:pPr>
  </w:style>
  <w:style w:type="character" w:customStyle="1" w:styleId="FooterChar">
    <w:name w:val="Footer Char"/>
    <w:basedOn w:val="DefaultParagraphFont"/>
    <w:link w:val="Footer"/>
    <w:uiPriority w:val="99"/>
    <w:rsid w:val="009D3423"/>
    <w:rPr>
      <w:rFonts w:eastAsiaTheme="minorHAnsi" w:cstheme="minorBidi"/>
      <w:color w:val="1F3C7F" w:themeColor="text2"/>
      <w:kern w:val="0"/>
      <w:szCs w:val="24"/>
      <w:lang w:val="en-GB"/>
    </w:rPr>
  </w:style>
  <w:style w:type="character" w:styleId="PageNumber">
    <w:name w:val="page number"/>
    <w:basedOn w:val="DefaultParagraphFont"/>
    <w:uiPriority w:val="99"/>
    <w:semiHidden/>
    <w:unhideWhenUsed/>
    <w:rsid w:val="00F16997"/>
  </w:style>
  <w:style w:type="character" w:styleId="UnresolvedMention">
    <w:name w:val="Unresolved Mention"/>
    <w:basedOn w:val="DefaultParagraphFont"/>
    <w:uiPriority w:val="99"/>
    <w:semiHidden/>
    <w:unhideWhenUsed/>
    <w:rsid w:val="00627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ident@fead.b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fead.be/wp-content/uploads/2025/05/Battery-Fires-in-Waste-Management_-Joint-Pape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EAD">
      <a:dk1>
        <a:srgbClr val="535353"/>
      </a:dk1>
      <a:lt1>
        <a:srgbClr val="FFFFFF"/>
      </a:lt1>
      <a:dk2>
        <a:srgbClr val="1F3C7F"/>
      </a:dk2>
      <a:lt2>
        <a:srgbClr val="FFFFFF"/>
      </a:lt2>
      <a:accent1>
        <a:srgbClr val="00A7E1"/>
      </a:accent1>
      <a:accent2>
        <a:srgbClr val="58AF3C"/>
      </a:accent2>
      <a:accent3>
        <a:srgbClr val="A3C84F"/>
      </a:accent3>
      <a:accent4>
        <a:srgbClr val="EB6723"/>
      </a:accent4>
      <a:accent5>
        <a:srgbClr val="FF8357"/>
      </a:accent5>
      <a:accent6>
        <a:srgbClr val="535353"/>
      </a:accent6>
      <a:hlink>
        <a:srgbClr val="00A7E1"/>
      </a:hlink>
      <a:folHlink>
        <a:srgbClr val="00A7E1"/>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0c0def053d21d12807fac02c70d263a0">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3af9ca119ab191cfa1062673512483ea"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3AA89-B0CD-4694-B749-584A6EB1485B}">
  <ds:schemaRefs>
    <ds:schemaRef ds:uri="http://schemas.microsoft.com/office/2006/metadata/properties"/>
    <ds:schemaRef ds:uri="http://schemas.microsoft.com/office/infopath/2007/PartnerControls"/>
    <ds:schemaRef ds:uri="abd4d7d9-8995-423f-896a-7071cea071c9"/>
    <ds:schemaRef ds:uri="b5e2b349-a18f-4497-973a-a1464950ca64"/>
  </ds:schemaRefs>
</ds:datastoreItem>
</file>

<file path=customXml/itemProps2.xml><?xml version="1.0" encoding="utf-8"?>
<ds:datastoreItem xmlns:ds="http://schemas.openxmlformats.org/officeDocument/2006/customXml" ds:itemID="{74428468-BC31-4976-A854-FF2C0F08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4d7d9-8995-423f-896a-7071cea071c9"/>
    <ds:schemaRef ds:uri="b5e2b349-a18f-4497-973a-a1464950c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B9F74A-767B-4475-A0A2-5261BFED3B80}">
  <ds:schemaRefs>
    <ds:schemaRef ds:uri="http://schemas.microsoft.com/sharepoint/v3/contenttype/forms"/>
  </ds:schemaRefs>
</ds:datastoreItem>
</file>

<file path=customXml/itemProps4.xml><?xml version="1.0" encoding="utf-8"?>
<ds:datastoreItem xmlns:ds="http://schemas.openxmlformats.org/officeDocument/2006/customXml" ds:itemID="{7E8103B3-60C6-4A71-983F-18923C1E6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Links>
    <vt:vector size="6" baseType="variant">
      <vt:variant>
        <vt:i4>4391010</vt:i4>
      </vt:variant>
      <vt:variant>
        <vt:i4>3</vt:i4>
      </vt:variant>
      <vt:variant>
        <vt:i4>0</vt:i4>
      </vt:variant>
      <vt:variant>
        <vt:i4>5</vt:i4>
      </vt:variant>
      <vt:variant>
        <vt:lpwstr>mailto:president@fead.be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Maes</dc:creator>
  <cp:keywords/>
  <dc:description/>
  <cp:lastModifiedBy>Rafael Basciano</cp:lastModifiedBy>
  <cp:revision>127</cp:revision>
  <dcterms:created xsi:type="dcterms:W3CDTF">2025-09-09T09:10:00Z</dcterms:created>
  <dcterms:modified xsi:type="dcterms:W3CDTF">2026-01-19T15:30:00Z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y fmtid="{D5CDD505-2E9C-101B-9397-08002B2CF9AE}" pid="3" name="MediaServiceImageTags">
    <vt:lpwstr/>
  </property>
</Properties>
</file>